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66B" w:rsidRDefault="00297A63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450850" cy="825500"/>
            <wp:effectExtent l="0" t="0" r="0" b="0"/>
            <wp:docPr id="1073741825" name="officeArt object" descr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2" descr="Рисунок 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r="52942" b="50000"/>
                    <a:stretch>
                      <a:fillRect/>
                    </a:stretch>
                  </pic:blipFill>
                  <pic:spPr>
                    <a:xfrm>
                      <a:off x="0" y="0"/>
                      <a:ext cx="450850" cy="8255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8366B" w:rsidRDefault="00D8366B">
      <w:pPr>
        <w:jc w:val="center"/>
        <w:rPr>
          <w:b/>
          <w:bCs/>
          <w:sz w:val="16"/>
          <w:szCs w:val="16"/>
        </w:rPr>
      </w:pPr>
    </w:p>
    <w:p w:rsidR="00D8366B" w:rsidRDefault="00297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ЯРОСЛАВСКАЯ ОБЛАСТНАЯ ДУМА </w:t>
      </w:r>
    </w:p>
    <w:p w:rsidR="00D8366B" w:rsidRDefault="00D8366B">
      <w:pPr>
        <w:jc w:val="center"/>
        <w:rPr>
          <w:b/>
          <w:bCs/>
          <w:sz w:val="24"/>
          <w:szCs w:val="24"/>
        </w:rPr>
      </w:pPr>
    </w:p>
    <w:p w:rsidR="00D8366B" w:rsidRDefault="00297A63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Д Е </w:t>
      </w:r>
      <w:proofErr w:type="gramStart"/>
      <w:r>
        <w:rPr>
          <w:b/>
          <w:bCs/>
          <w:sz w:val="40"/>
          <w:szCs w:val="40"/>
        </w:rPr>
        <w:t>П</w:t>
      </w:r>
      <w:proofErr w:type="gramEnd"/>
      <w:r>
        <w:rPr>
          <w:b/>
          <w:bCs/>
          <w:sz w:val="40"/>
          <w:szCs w:val="40"/>
        </w:rPr>
        <w:t xml:space="preserve"> У Т А Т</w:t>
      </w:r>
    </w:p>
    <w:p w:rsidR="00D8366B" w:rsidRDefault="00297A6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ЯРОСЛАВСКОЙ ОБЛАСТНОЙ ДУМЫ </w:t>
      </w:r>
    </w:p>
    <w:p w:rsidR="00D8366B" w:rsidRDefault="00297A6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седьмого созыва  (2018-2023)</w:t>
      </w:r>
    </w:p>
    <w:p w:rsidR="00D8366B" w:rsidRDefault="00297A63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-3174</wp:posOffset>
                </wp:positionH>
                <wp:positionV relativeFrom="line">
                  <wp:posOffset>85087</wp:posOffset>
                </wp:positionV>
                <wp:extent cx="5942970" cy="0"/>
                <wp:effectExtent l="0" t="0" r="0" b="0"/>
                <wp:wrapNone/>
                <wp:docPr id="1073741826" name="officeArt object" descr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70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-0.2pt;margin-top:6.7pt;width:468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29088</wp:posOffset>
                </wp:positionH>
                <wp:positionV relativeFrom="line">
                  <wp:posOffset>19332</wp:posOffset>
                </wp:positionV>
                <wp:extent cx="5943604" cy="4"/>
                <wp:effectExtent l="0" t="0" r="0" b="0"/>
                <wp:wrapNone/>
                <wp:docPr id="1073741827" name="officeArt object" descr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43604" cy="4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2.3pt;margin-top:1.5pt;width:468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:rsidR="00D8366B" w:rsidRDefault="00D8366B">
      <w:pPr>
        <w:ind w:firstLine="6237"/>
        <w:jc w:val="both"/>
      </w:pPr>
    </w:p>
    <w:p w:rsidR="00D8366B" w:rsidRDefault="00297A63">
      <w:r>
        <w:rPr>
          <w:sz w:val="24"/>
          <w:szCs w:val="24"/>
        </w:rPr>
        <w:t xml:space="preserve">« 5 »  февраля 2021 </w:t>
      </w:r>
      <w:r>
        <w:rPr>
          <w:sz w:val="16"/>
          <w:szCs w:val="16"/>
        </w:rPr>
        <w:t>Г</w:t>
      </w:r>
      <w:r>
        <w:t xml:space="preserve">.                                                                                        </w:t>
      </w:r>
      <w:r>
        <w:rPr>
          <w:sz w:val="24"/>
          <w:szCs w:val="24"/>
        </w:rPr>
        <w:t>№ 140</w:t>
      </w:r>
    </w:p>
    <w:p w:rsidR="00D8366B" w:rsidRDefault="00D8366B">
      <w:pPr>
        <w:ind w:firstLine="709"/>
        <w:jc w:val="both"/>
        <w:rPr>
          <w:sz w:val="28"/>
          <w:szCs w:val="28"/>
        </w:rPr>
      </w:pPr>
    </w:p>
    <w:p w:rsidR="00D8366B" w:rsidRDefault="00297A63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На основании статьи 27 Устава </w:t>
      </w:r>
      <w:r>
        <w:rPr>
          <w:sz w:val="28"/>
          <w:szCs w:val="28"/>
        </w:rPr>
        <w:t>Ярославской области вношу на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смотрение Ярославской областной Думы в качестве законодательной иниц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ативы</w:t>
      </w:r>
      <w:r>
        <w:rPr>
          <w:sz w:val="28"/>
          <w:szCs w:val="28"/>
        </w:rPr>
        <w:t xml:space="preserve"> поправки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к проекту закона Ярославской области «О внесении измен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 в Закон Ярославской области «</w:t>
      </w:r>
      <w:r>
        <w:rPr>
          <w:sz w:val="28"/>
          <w:szCs w:val="28"/>
        </w:rPr>
        <w:t xml:space="preserve">Об областном бюджете на 2021 </w:t>
      </w:r>
      <w:r>
        <w:rPr>
          <w:sz w:val="28"/>
          <w:szCs w:val="28"/>
        </w:rPr>
        <w:t>год и на плановый период 2022 и 2023 годов», внесенному Губернатором Яросла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 области вх.№247 от 05.02.2021 г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следующего содержания:</w:t>
      </w:r>
    </w:p>
    <w:p w:rsidR="00D8366B" w:rsidRDefault="00D8366B">
      <w:pPr>
        <w:ind w:firstLine="709"/>
        <w:jc w:val="both"/>
        <w:rPr>
          <w:sz w:val="28"/>
          <w:szCs w:val="28"/>
        </w:rPr>
      </w:pPr>
    </w:p>
    <w:p w:rsidR="00D8366B" w:rsidRDefault="00297A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Перераспределить расходы областного бюджета на 2021 год по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дарственной программе (код целевой классификации 39.0.</w:t>
      </w:r>
      <w:r>
        <w:rPr>
          <w:sz w:val="28"/>
          <w:szCs w:val="28"/>
        </w:rPr>
        <w:t>00.00000) «Мес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ное самоуправление в Ярославской области», предусмотрев субсидию (код целевой классификации 39.6.01.75350) на реализацию мероприятий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бюджетирования на территории Ярославской области (поддержка местных инициатив)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D8366B" w:rsidRDefault="00297A6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Ярославскому</w:t>
      </w:r>
      <w:r>
        <w:rPr>
          <w:sz w:val="28"/>
          <w:szCs w:val="28"/>
        </w:rPr>
        <w:t xml:space="preserve"> муниципальному району на сумму 545 087 (пятьсот сорок пять тысяч восемьдесят семь) рублей на монтаж автоматической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жарной сигнализации и системы оповещения и управления эвакуацией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дей при пожаре в здании начальной школы МОУ </w:t>
      </w:r>
      <w:proofErr w:type="spellStart"/>
      <w:r>
        <w:rPr>
          <w:sz w:val="28"/>
          <w:szCs w:val="28"/>
        </w:rPr>
        <w:t>Кузнечихинской</w:t>
      </w:r>
      <w:proofErr w:type="spellEnd"/>
      <w:r>
        <w:rPr>
          <w:sz w:val="28"/>
          <w:szCs w:val="28"/>
        </w:rPr>
        <w:t xml:space="preserve"> СШ ЯМР</w:t>
      </w:r>
      <w:r>
        <w:rPr>
          <w:b/>
          <w:bCs/>
          <w:i/>
          <w:iCs/>
          <w:color w:val="BCD2FA"/>
          <w:sz w:val="22"/>
          <w:szCs w:val="22"/>
          <w:u w:color="BCD1F9"/>
          <w14:textOutline w14:w="5270" w14:cap="flat" w14:cmpd="sng" w14:algn="ctr">
            <w14:solidFill>
              <w14:srgbClr w14:val="4579B8"/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BCD2FA"/>
                </w14:gs>
                <w14:gs w14:pos="9000">
                  <w14:srgbClr w14:val="9EC1FF"/>
                </w14:gs>
                <w14:gs w14:pos="50000">
                  <w14:srgbClr w14:val="003B81"/>
                </w14:gs>
                <w14:gs w14:pos="79000">
                  <w14:srgbClr w14:val="9EC1FF"/>
                </w14:gs>
                <w14:gs w14:pos="100000">
                  <w14:srgbClr w14:val="BCD2FA"/>
                </w14:gs>
              </w14:gsLst>
              <w14:lin w14:ang="5400000" w14:scaled="0"/>
            </w14:gradFill>
          </w14:textFill>
        </w:rPr>
        <w:t xml:space="preserve"> </w:t>
      </w:r>
      <w:r>
        <w:rPr>
          <w:sz w:val="28"/>
          <w:szCs w:val="28"/>
        </w:rPr>
        <w:t>за счет уменьшения на указанную сумму нераспределенных средств по Субсидии на реализацию мероприятий инициативного бюджетирования на</w:t>
      </w:r>
      <w:r>
        <w:rPr>
          <w:sz w:val="28"/>
          <w:szCs w:val="28"/>
        </w:rPr>
        <w:t xml:space="preserve"> территории Ярославской области (поддержка местных инициатив).</w:t>
      </w:r>
      <w:proofErr w:type="gramEnd"/>
    </w:p>
    <w:p w:rsidR="00D8366B" w:rsidRDefault="00297A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Ярославскому муниципальному району на сумму 459 579 (четыреста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пятьдесят девять тысяч пятьсот семьдесят девять) рублей на монтаж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матической пожарной сигнализации и системы оповещения и упр</w:t>
      </w:r>
      <w:r>
        <w:rPr>
          <w:sz w:val="28"/>
          <w:szCs w:val="28"/>
        </w:rPr>
        <w:t xml:space="preserve">авления эвакуацией людей при пожаре на третьем этаже основного здания МОУ </w:t>
      </w:r>
      <w:proofErr w:type="spellStart"/>
      <w:r>
        <w:rPr>
          <w:sz w:val="28"/>
          <w:szCs w:val="28"/>
        </w:rPr>
        <w:t>Кузнечихинской</w:t>
      </w:r>
      <w:proofErr w:type="spellEnd"/>
      <w:r>
        <w:rPr>
          <w:sz w:val="28"/>
          <w:szCs w:val="28"/>
        </w:rPr>
        <w:t xml:space="preserve"> СШ ЯМР за счет уменьшения на указанную сумму нера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пределенных средств по Субсидии на реализацию мероприятий иници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тивного бюджетирования на территории Ярославской обла</w:t>
      </w:r>
      <w:r>
        <w:rPr>
          <w:sz w:val="28"/>
          <w:szCs w:val="28"/>
        </w:rPr>
        <w:t>сти (поддержка местных инициатив).</w:t>
      </w:r>
      <w:proofErr w:type="gramEnd"/>
    </w:p>
    <w:p w:rsidR="00D8366B" w:rsidRDefault="00297A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Ярославскому муниципальному району на сумму 672 606 (шестьсот семьдесят две тысячи шестьсот шесть) рублей на монтаж автоматической пожарной сигнализации и системы оповещения и управления эвакуацией людей при пожаре в МОУ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Медягинская</w:t>
      </w:r>
      <w:proofErr w:type="spellEnd"/>
      <w:r>
        <w:rPr>
          <w:sz w:val="28"/>
          <w:szCs w:val="28"/>
        </w:rPr>
        <w:t xml:space="preserve"> ОШ ЯМР за счет уменьшения на указанную сумму нераспределенных средств по Субсидии на реализацию </w:t>
      </w:r>
      <w:r>
        <w:rPr>
          <w:sz w:val="28"/>
          <w:szCs w:val="28"/>
        </w:rPr>
        <w:lastRenderedPageBreak/>
        <w:t>мероприятий инициативного бюджетирования на территории Ярославской области (поддержка местных инициатив).</w:t>
      </w:r>
      <w:proofErr w:type="gramEnd"/>
    </w:p>
    <w:p w:rsidR="00D8366B" w:rsidRDefault="00297A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Ярославскому муниципальному району на су</w:t>
      </w:r>
      <w:r>
        <w:rPr>
          <w:sz w:val="28"/>
          <w:szCs w:val="28"/>
        </w:rPr>
        <w:t>мму 1 062 727 (один миллион шестьдесят две тысячи семьсот двадцать семь) рублей на монтаж автоматической пожарной сигнализации и системы оповещения и управл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эвакуацией людей при пожаре в МОУ </w:t>
      </w:r>
      <w:proofErr w:type="spellStart"/>
      <w:r>
        <w:rPr>
          <w:sz w:val="28"/>
          <w:szCs w:val="28"/>
        </w:rPr>
        <w:t>Пестрецовская</w:t>
      </w:r>
      <w:proofErr w:type="spellEnd"/>
      <w:r>
        <w:rPr>
          <w:sz w:val="28"/>
          <w:szCs w:val="28"/>
        </w:rPr>
        <w:t xml:space="preserve"> ОШ ЯМР за счет уменьшения на указанную сумму не</w:t>
      </w:r>
      <w:r>
        <w:rPr>
          <w:sz w:val="28"/>
          <w:szCs w:val="28"/>
        </w:rPr>
        <w:t>распределенных средств по Субсидии на реализацию мероприятий инициативного бюджетирования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Ярославской области (поддержка местных инициатив).</w:t>
      </w:r>
      <w:proofErr w:type="gramEnd"/>
    </w:p>
    <w:p w:rsidR="00D8366B" w:rsidRDefault="00297A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Ярославскому муниципальному району на сумму 866 047 (восемьсот шестьдесят шесть тысяч сорок семь) ру</w:t>
      </w:r>
      <w:r>
        <w:rPr>
          <w:sz w:val="28"/>
          <w:szCs w:val="28"/>
        </w:rPr>
        <w:t>блей на монтаж автоматической пожарной сигнализации и системы оповещения и управления эвакуацией людей при пожаре в МОУ Спасская СШ ЯМР за счет уменьшения на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занную сумму нераспределенных средств по Субсидии на реализацию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роприятий инициативного бюдже</w:t>
      </w:r>
      <w:r>
        <w:rPr>
          <w:sz w:val="28"/>
          <w:szCs w:val="28"/>
        </w:rPr>
        <w:t>тирования на территории Ярославской области (поддержка местных инициатив).</w:t>
      </w:r>
      <w:proofErr w:type="gramEnd"/>
    </w:p>
    <w:p w:rsidR="00D8366B" w:rsidRDefault="00297A6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Ярославскому муниципальному району на сумму 778 584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семьсот семьдесят восемь тысяч пятьсот восемьдесят четыре) рублей на монтаж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томатической пожарной сигнализации и системы опо</w:t>
      </w:r>
      <w:r>
        <w:rPr>
          <w:sz w:val="28"/>
          <w:szCs w:val="28"/>
        </w:rPr>
        <w:t xml:space="preserve">вещения и управления эвакуацией людей при пожаре в МОУ </w:t>
      </w:r>
      <w:proofErr w:type="spellStart"/>
      <w:r>
        <w:rPr>
          <w:sz w:val="28"/>
          <w:szCs w:val="28"/>
        </w:rPr>
        <w:t>Иванищевская</w:t>
      </w:r>
      <w:proofErr w:type="spellEnd"/>
      <w:r>
        <w:rPr>
          <w:sz w:val="28"/>
          <w:szCs w:val="28"/>
        </w:rPr>
        <w:t xml:space="preserve"> СШ ЯМР за счет уменьшения на указанную сумму нераспределенных средств по Субсидии на реализацию мероприятий инициативного бюджетирования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Ярославской области (поддержка местны</w:t>
      </w:r>
      <w:r>
        <w:rPr>
          <w:sz w:val="28"/>
          <w:szCs w:val="28"/>
        </w:rPr>
        <w:t>х инициатив).</w:t>
      </w:r>
    </w:p>
    <w:p w:rsidR="00D8366B" w:rsidRDefault="00D8366B">
      <w:pPr>
        <w:ind w:firstLine="709"/>
        <w:jc w:val="both"/>
        <w:rPr>
          <w:sz w:val="28"/>
          <w:szCs w:val="28"/>
        </w:rPr>
      </w:pPr>
    </w:p>
    <w:p w:rsidR="00D8366B" w:rsidRDefault="00D8366B">
      <w:pPr>
        <w:pStyle w:val="p5"/>
        <w:suppressAutoHyphens/>
        <w:spacing w:before="0" w:after="0"/>
        <w:ind w:firstLine="709"/>
        <w:jc w:val="both"/>
        <w:rPr>
          <w:sz w:val="28"/>
          <w:szCs w:val="28"/>
        </w:rPr>
      </w:pPr>
    </w:p>
    <w:p w:rsidR="00D8366B" w:rsidRDefault="00297A63">
      <w:pPr>
        <w:pStyle w:val="p5"/>
        <w:suppressAutoHyphens/>
        <w:spacing w:before="0" w:after="0"/>
        <w:ind w:firstLine="709"/>
        <w:jc w:val="both"/>
        <w:rPr>
          <w:i/>
          <w:iCs/>
          <w:color w:val="92D050"/>
          <w:sz w:val="22"/>
          <w:szCs w:val="22"/>
          <w:u w:color="92D050"/>
        </w:rPr>
      </w:pPr>
      <w:r>
        <w:rPr>
          <w:sz w:val="28"/>
          <w:szCs w:val="28"/>
        </w:rPr>
        <w:t>Внести соответствующие изменения в приложения к законопроекту.</w:t>
      </w:r>
    </w:p>
    <w:p w:rsidR="00D8366B" w:rsidRDefault="00D8366B">
      <w:pPr>
        <w:ind w:firstLine="709"/>
        <w:jc w:val="both"/>
        <w:rPr>
          <w:sz w:val="28"/>
          <w:szCs w:val="28"/>
        </w:rPr>
      </w:pPr>
    </w:p>
    <w:p w:rsidR="00D8366B" w:rsidRDefault="00297A63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Обоснование поправок: в целях создания безопасных и качестве</w:t>
      </w: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ных условий для учебной деятельности жителей Ярославского муниц</w:t>
      </w:r>
      <w:r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пального района Ярославской области.</w:t>
      </w:r>
    </w:p>
    <w:p w:rsidR="00D8366B" w:rsidRDefault="00D8366B">
      <w:pPr>
        <w:pStyle w:val="a6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66B" w:rsidRDefault="00D8366B">
      <w:pPr>
        <w:pStyle w:val="21"/>
        <w:widowControl/>
        <w:ind w:firstLine="0"/>
        <w:jc w:val="center"/>
        <w:rPr>
          <w:b/>
          <w:bCs/>
          <w:i/>
          <w:iCs/>
          <w:color w:val="FF0000"/>
          <w:sz w:val="36"/>
          <w:szCs w:val="36"/>
          <w:u w:val="single" w:color="FF0000"/>
        </w:rPr>
      </w:pPr>
    </w:p>
    <w:p w:rsidR="00D8366B" w:rsidRDefault="00D8366B">
      <w:pPr>
        <w:pStyle w:val="ConsPlusNormal"/>
        <w:ind w:firstLine="540"/>
        <w:jc w:val="both"/>
        <w:outlineLvl w:val="0"/>
      </w:pPr>
    </w:p>
    <w:p w:rsidR="00D8366B" w:rsidRDefault="00297A63">
      <w:pPr>
        <w:pStyle w:val="ConsPlusNormal"/>
        <w:ind w:firstLine="540"/>
        <w:jc w:val="both"/>
        <w:outlineLvl w:val="0"/>
      </w:pPr>
      <w:r>
        <w:t xml:space="preserve">                                                              </w:t>
      </w:r>
    </w:p>
    <w:p w:rsidR="00D8366B" w:rsidRDefault="00D8366B">
      <w:pPr>
        <w:pStyle w:val="ConsPlusNormal"/>
        <w:ind w:firstLine="540"/>
        <w:jc w:val="both"/>
        <w:outlineLvl w:val="0"/>
      </w:pPr>
    </w:p>
    <w:p w:rsidR="00D8366B" w:rsidRDefault="00D8366B">
      <w:pPr>
        <w:pStyle w:val="ConsPlusNormal"/>
        <w:ind w:firstLine="540"/>
        <w:jc w:val="both"/>
        <w:outlineLvl w:val="0"/>
      </w:pPr>
    </w:p>
    <w:p w:rsidR="00D8366B" w:rsidRDefault="00D8366B">
      <w:pPr>
        <w:pStyle w:val="ConsPlusNormal"/>
        <w:ind w:firstLine="540"/>
        <w:jc w:val="both"/>
        <w:outlineLvl w:val="0"/>
      </w:pPr>
    </w:p>
    <w:p w:rsidR="00D8366B" w:rsidRDefault="00D8366B">
      <w:pPr>
        <w:pStyle w:val="ConsPlusNormal"/>
        <w:ind w:firstLine="540"/>
        <w:jc w:val="both"/>
        <w:outlineLvl w:val="0"/>
      </w:pPr>
    </w:p>
    <w:p w:rsidR="00D8366B" w:rsidRDefault="00D8366B">
      <w:pPr>
        <w:pStyle w:val="ConsPlusNormal"/>
        <w:ind w:firstLine="540"/>
        <w:jc w:val="both"/>
        <w:outlineLvl w:val="0"/>
      </w:pPr>
    </w:p>
    <w:p w:rsidR="00D8366B" w:rsidRDefault="00297A63">
      <w:pPr>
        <w:pStyle w:val="ConsPlusNormal"/>
        <w:ind w:firstLine="540"/>
        <w:jc w:val="both"/>
        <w:outlineLvl w:val="0"/>
      </w:pPr>
      <w:r>
        <w:t xml:space="preserve">     </w:t>
      </w:r>
    </w:p>
    <w:p w:rsidR="00D8366B" w:rsidRDefault="00D8366B">
      <w:pPr>
        <w:pStyle w:val="ConsPlusNormal"/>
        <w:ind w:firstLine="540"/>
        <w:jc w:val="both"/>
        <w:outlineLvl w:val="0"/>
      </w:pPr>
    </w:p>
    <w:p w:rsidR="00D8366B" w:rsidRDefault="00D8366B">
      <w:pPr>
        <w:pStyle w:val="ConsPlusNormal"/>
        <w:ind w:firstLine="540"/>
        <w:jc w:val="both"/>
        <w:outlineLvl w:val="0"/>
      </w:pPr>
    </w:p>
    <w:p w:rsidR="00D8366B" w:rsidRDefault="00D8366B">
      <w:pPr>
        <w:pStyle w:val="ConsPlusNormal"/>
        <w:ind w:firstLine="540"/>
        <w:jc w:val="both"/>
        <w:outlineLvl w:val="0"/>
      </w:pPr>
    </w:p>
    <w:p w:rsidR="00D8366B" w:rsidRDefault="00297A63">
      <w:pPr>
        <w:pStyle w:val="ConsPlusNormal"/>
        <w:ind w:firstLine="540"/>
        <w:jc w:val="both"/>
        <w:outlineLvl w:val="0"/>
      </w:pPr>
      <w:r>
        <w:t>Никешин Михаил Валентинович</w:t>
      </w:r>
    </w:p>
    <w:sectPr w:rsidR="00D8366B">
      <w:headerReference w:type="default" r:id="rId9"/>
      <w:footerReference w:type="default" r:id="rId10"/>
      <w:pgSz w:w="11900" w:h="16840"/>
      <w:pgMar w:top="567" w:right="851" w:bottom="851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A63" w:rsidRDefault="00297A63">
      <w:r>
        <w:separator/>
      </w:r>
    </w:p>
  </w:endnote>
  <w:endnote w:type="continuationSeparator" w:id="0">
    <w:p w:rsidR="00297A63" w:rsidRDefault="00297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6B" w:rsidRDefault="00D8366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A63" w:rsidRDefault="00297A63">
      <w:r>
        <w:separator/>
      </w:r>
    </w:p>
  </w:footnote>
  <w:footnote w:type="continuationSeparator" w:id="0">
    <w:p w:rsidR="00297A63" w:rsidRDefault="00297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66B" w:rsidRDefault="00D836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64AE1"/>
    <w:multiLevelType w:val="hybridMultilevel"/>
    <w:tmpl w:val="C682E464"/>
    <w:numStyleLink w:val="a"/>
  </w:abstractNum>
  <w:abstractNum w:abstractNumId="1">
    <w:nsid w:val="35AB3177"/>
    <w:multiLevelType w:val="hybridMultilevel"/>
    <w:tmpl w:val="C682E464"/>
    <w:styleLink w:val="a"/>
    <w:lvl w:ilvl="0" w:tplc="55BC6C12">
      <w:start w:val="1"/>
      <w:numFmt w:val="decimal"/>
      <w:suff w:val="nothing"/>
      <w:lvlText w:val="%1."/>
      <w:lvlJc w:val="left"/>
      <w:pPr>
        <w:ind w:left="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262376">
      <w:start w:val="1"/>
      <w:numFmt w:val="decimal"/>
      <w:suff w:val="nothing"/>
      <w:lvlText w:val="%2."/>
      <w:lvlJc w:val="left"/>
      <w:pPr>
        <w:ind w:left="1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5B20EA0">
      <w:start w:val="1"/>
      <w:numFmt w:val="decimal"/>
      <w:suff w:val="nothing"/>
      <w:lvlText w:val="%3."/>
      <w:lvlJc w:val="left"/>
      <w:pPr>
        <w:ind w:left="1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D67A64">
      <w:start w:val="1"/>
      <w:numFmt w:val="decimal"/>
      <w:suff w:val="nothing"/>
      <w:lvlText w:val="%4."/>
      <w:lvlJc w:val="left"/>
      <w:pPr>
        <w:ind w:left="2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8EEF40">
      <w:start w:val="1"/>
      <w:numFmt w:val="decimal"/>
      <w:suff w:val="nothing"/>
      <w:lvlText w:val="%5."/>
      <w:lvlJc w:val="left"/>
      <w:pPr>
        <w:ind w:left="34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F6C186">
      <w:start w:val="1"/>
      <w:numFmt w:val="decimal"/>
      <w:suff w:val="nothing"/>
      <w:lvlText w:val="%6."/>
      <w:lvlJc w:val="left"/>
      <w:pPr>
        <w:ind w:left="42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6C7254">
      <w:start w:val="1"/>
      <w:numFmt w:val="decimal"/>
      <w:suff w:val="nothing"/>
      <w:lvlText w:val="%7."/>
      <w:lvlJc w:val="left"/>
      <w:pPr>
        <w:ind w:left="50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E8156A">
      <w:start w:val="1"/>
      <w:numFmt w:val="decimal"/>
      <w:suff w:val="nothing"/>
      <w:lvlText w:val="%8."/>
      <w:lvlJc w:val="left"/>
      <w:pPr>
        <w:ind w:left="58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B2A3C8">
      <w:start w:val="1"/>
      <w:numFmt w:val="decimal"/>
      <w:suff w:val="nothing"/>
      <w:lvlText w:val="%9."/>
      <w:lvlJc w:val="left"/>
      <w:pPr>
        <w:ind w:left="6611" w:firstLine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6EB8EF2A">
        <w:start w:val="1"/>
        <w:numFmt w:val="decimal"/>
        <w:suff w:val="nothing"/>
        <w:lvlText w:val="%1."/>
        <w:lvlJc w:val="left"/>
        <w:pPr>
          <w:ind w:left="211" w:firstLine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D263F48">
        <w:start w:val="1"/>
        <w:numFmt w:val="decimal"/>
        <w:lvlText w:val="%2."/>
        <w:lvlJc w:val="left"/>
        <w:pPr>
          <w:tabs>
            <w:tab w:val="num" w:pos="1733"/>
          </w:tabs>
          <w:ind w:left="1095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332B600">
        <w:start w:val="1"/>
        <w:numFmt w:val="decimal"/>
        <w:lvlText w:val="%3."/>
        <w:lvlJc w:val="left"/>
        <w:pPr>
          <w:tabs>
            <w:tab w:val="num" w:pos="2533"/>
          </w:tabs>
          <w:ind w:left="1895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029504">
        <w:start w:val="1"/>
        <w:numFmt w:val="decimal"/>
        <w:lvlText w:val="%4."/>
        <w:lvlJc w:val="left"/>
        <w:pPr>
          <w:tabs>
            <w:tab w:val="num" w:pos="3333"/>
          </w:tabs>
          <w:ind w:left="2695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F1C5560">
        <w:start w:val="1"/>
        <w:numFmt w:val="decimal"/>
        <w:lvlText w:val="%5."/>
        <w:lvlJc w:val="left"/>
        <w:pPr>
          <w:tabs>
            <w:tab w:val="num" w:pos="4133"/>
          </w:tabs>
          <w:ind w:left="3495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C25702">
        <w:start w:val="1"/>
        <w:numFmt w:val="decimal"/>
        <w:lvlText w:val="%6."/>
        <w:lvlJc w:val="left"/>
        <w:pPr>
          <w:tabs>
            <w:tab w:val="num" w:pos="4933"/>
          </w:tabs>
          <w:ind w:left="4295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E586AFC">
        <w:start w:val="1"/>
        <w:numFmt w:val="decimal"/>
        <w:lvlText w:val="%7."/>
        <w:lvlJc w:val="left"/>
        <w:pPr>
          <w:tabs>
            <w:tab w:val="num" w:pos="5733"/>
          </w:tabs>
          <w:ind w:left="5095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BA4D658">
        <w:start w:val="1"/>
        <w:numFmt w:val="decimal"/>
        <w:lvlText w:val="%8."/>
        <w:lvlJc w:val="left"/>
        <w:pPr>
          <w:tabs>
            <w:tab w:val="num" w:pos="6533"/>
          </w:tabs>
          <w:ind w:left="5895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8A7C70">
        <w:start w:val="1"/>
        <w:numFmt w:val="decimal"/>
        <w:lvlText w:val="%9."/>
        <w:lvlJc w:val="left"/>
        <w:pPr>
          <w:tabs>
            <w:tab w:val="num" w:pos="7333"/>
          </w:tabs>
          <w:ind w:left="6695" w:firstLine="3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8366B"/>
    <w:rsid w:val="00297A63"/>
    <w:rsid w:val="004B540A"/>
    <w:rsid w:val="00D8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p5">
    <w:name w:val="p5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21">
    <w:name w:val="Основной текст с отступом 21"/>
    <w:pPr>
      <w:widowControl w:val="0"/>
      <w:ind w:firstLine="851"/>
    </w:pPr>
    <w:rPr>
      <w:rFonts w:eastAsia="Times New Roman"/>
      <w:color w:val="000000"/>
      <w:sz w:val="28"/>
      <w:szCs w:val="28"/>
      <w:u w:color="000000"/>
    </w:rPr>
  </w:style>
  <w:style w:type="paragraph" w:customStyle="1" w:styleId="ConsPlusNormal">
    <w:name w:val="ConsPlusNormal"/>
    <w:rPr>
      <w:rFonts w:eastAsia="Times New Roman"/>
      <w:color w:val="000000"/>
      <w:sz w:val="28"/>
      <w:szCs w:val="28"/>
      <w:u w:color="000000"/>
    </w:rPr>
  </w:style>
  <w:style w:type="paragraph" w:styleId="a7">
    <w:name w:val="Balloon Text"/>
    <w:basedOn w:val="a0"/>
    <w:link w:val="a8"/>
    <w:uiPriority w:val="99"/>
    <w:semiHidden/>
    <w:unhideWhenUsed/>
    <w:rsid w:val="004B5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B540A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rFonts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  <w:style w:type="paragraph" w:customStyle="1" w:styleId="p5">
    <w:name w:val="p5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styleId="a6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21">
    <w:name w:val="Основной текст с отступом 21"/>
    <w:pPr>
      <w:widowControl w:val="0"/>
      <w:ind w:firstLine="851"/>
    </w:pPr>
    <w:rPr>
      <w:rFonts w:eastAsia="Times New Roman"/>
      <w:color w:val="000000"/>
      <w:sz w:val="28"/>
      <w:szCs w:val="28"/>
      <w:u w:color="000000"/>
    </w:rPr>
  </w:style>
  <w:style w:type="paragraph" w:customStyle="1" w:styleId="ConsPlusNormal">
    <w:name w:val="ConsPlusNormal"/>
    <w:rPr>
      <w:rFonts w:eastAsia="Times New Roman"/>
      <w:color w:val="000000"/>
      <w:sz w:val="28"/>
      <w:szCs w:val="28"/>
      <w:u w:color="000000"/>
    </w:rPr>
  </w:style>
  <w:style w:type="paragraph" w:styleId="a7">
    <w:name w:val="Balloon Text"/>
    <w:basedOn w:val="a0"/>
    <w:link w:val="a8"/>
    <w:uiPriority w:val="99"/>
    <w:semiHidden/>
    <w:unhideWhenUsed/>
    <w:rsid w:val="004B54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4B540A"/>
    <w:rPr>
      <w:rFonts w:ascii="Tahoma" w:hAnsi="Tahoma" w:cs="Tahoma"/>
      <w:color w:val="000000"/>
      <w:sz w:val="16"/>
      <w:szCs w:val="1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Ольга Петровна</dc:creator>
  <cp:lastModifiedBy>Молчанова Ольга Петровна</cp:lastModifiedBy>
  <cp:revision>2</cp:revision>
  <dcterms:created xsi:type="dcterms:W3CDTF">2021-02-08T12:39:00Z</dcterms:created>
  <dcterms:modified xsi:type="dcterms:W3CDTF">2021-02-08T12:39:00Z</dcterms:modified>
</cp:coreProperties>
</file>