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1EDC" w:rsidRDefault="001A1EDC" w:rsidP="001A1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EDC">
        <w:rPr>
          <w:rFonts w:ascii="Times New Roman" w:hAnsi="Times New Roman" w:cs="Times New Roman"/>
          <w:b/>
          <w:sz w:val="24"/>
          <w:szCs w:val="24"/>
        </w:rPr>
        <w:t xml:space="preserve">Доходы бюджета Территориального фонда обязательного медицинского страхования </w:t>
      </w:r>
    </w:p>
    <w:p w:rsidR="004544D4" w:rsidRPr="001A1EDC" w:rsidRDefault="001A1EDC" w:rsidP="001A1E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EDC">
        <w:rPr>
          <w:rFonts w:ascii="Times New Roman" w:hAnsi="Times New Roman" w:cs="Times New Roman"/>
          <w:b/>
          <w:sz w:val="24"/>
          <w:szCs w:val="24"/>
        </w:rPr>
        <w:t>Ярославской области на плановый период 2024 и 2025 годов</w:t>
      </w:r>
    </w:p>
    <w:p w:rsidR="001A1EDC" w:rsidRPr="001A1EDC" w:rsidRDefault="001A1EDC" w:rsidP="001A1E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A1EDC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7"/>
        <w:gridCol w:w="2016"/>
        <w:gridCol w:w="961"/>
        <w:gridCol w:w="2876"/>
        <w:gridCol w:w="2016"/>
        <w:gridCol w:w="961"/>
        <w:gridCol w:w="2876"/>
      </w:tblGrid>
      <w:tr w:rsidR="001A1EDC" w:rsidRPr="001A1EDC" w:rsidTr="001A1EDC">
        <w:trPr>
          <w:trHeight w:val="858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дохода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бюджета</w:t>
            </w: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2024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 2023 г.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Расчеты (обоснования) показателей на 2024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бюджета</w:t>
            </w: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2025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</w:t>
            </w: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к 2024 г.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Расчеты (обоснования) показателей на 2025 год</w:t>
            </w:r>
          </w:p>
        </w:tc>
      </w:tr>
      <w:tr w:rsidR="001A1EDC" w:rsidRPr="001A1EDC" w:rsidTr="00906E14">
        <w:trPr>
          <w:trHeight w:val="4657"/>
        </w:trPr>
        <w:tc>
          <w:tcPr>
            <w:tcW w:w="0" w:type="auto"/>
            <w:vMerge w:val="restart"/>
            <w:shd w:val="clear" w:color="auto" w:fill="auto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1 00 00000 00 0000 000 Налоговые и неналоговые доходы</w:t>
            </w:r>
          </w:p>
        </w:tc>
        <w:tc>
          <w:tcPr>
            <w:tcW w:w="0" w:type="auto"/>
            <w:vMerge w:val="restart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92 912 100,00</w:t>
            </w:r>
          </w:p>
        </w:tc>
        <w:tc>
          <w:tcPr>
            <w:tcW w:w="0" w:type="auto"/>
            <w:vMerge w:val="restart"/>
            <w:shd w:val="clear" w:color="auto" w:fill="auto"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113,8%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:rsidR="001A1EDC" w:rsidRPr="001A1EDC" w:rsidRDefault="001A1EDC" w:rsidP="00847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Неналоговые доходы запланированы в сумме 92 912,1 тыс. руб., из них: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1) </w:t>
            </w:r>
            <w:r w:rsidR="0084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оступления прочих доходов от компенсации затрат бюджетов территориальных фондов обязательного медицинского страхования на формирование НСЗ Фонда для финансового обеспечения мероприятий запланированы в сумме 89 216,9 тыс. руб. Средства формируются в соответствии с частью 6.3 статьи 26 Федерального закона № 326-ФЗ.</w:t>
            </w:r>
            <w:proofErr w:type="gramEnd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Источником формирования средств НСЗ Фонда на финансовое обеспечение мероприятий являются санкции, применяемые 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страховыми медицинскими организациями и Фондом к медицинским организациям за нарушения, выявленные при проведении контроля объемов, сроков, качества и условий предоставления медицинской помощи. Расчет осуществлялся на основании усреднения годовых объемов поступлений по данному виду доходов за предшествующие годы</w:t>
            </w:r>
            <w:r w:rsidR="0084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88 330 700,00</w:t>
            </w:r>
          </w:p>
        </w:tc>
        <w:tc>
          <w:tcPr>
            <w:tcW w:w="0" w:type="auto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95,1%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:rsidR="001A1EDC" w:rsidRPr="001A1EDC" w:rsidRDefault="001A1EDC" w:rsidP="00847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Неналоговые доходы запланированы в сумме 88 330,7 тыс. руб., из них: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1) </w:t>
            </w:r>
            <w:r w:rsidR="0084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оступления прочих доходов от компенсации затрат бюджетов территориальных фондов обязательного медицинского страхования на формирование НСЗ Фонда для финансового обеспечения мероприятий  запланированы в сумме 84 604,6 тыс. руб. Средства формируются в соответствии с частью 6.3 статьи 26 Федерального закона № 326-ФЗ.</w:t>
            </w:r>
            <w:proofErr w:type="gramEnd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Источником формирования средств НСЗ Фонда на финансовое обеспечение мероприятий являются санкции, применяемые 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страховыми медицинскими организациями и Фондом к медицинским организациям за нарушения, выявленные при проведении контроля объемов, сроков, качества и условий предоставления медицинской помощи. Расчет осуществлялся на основании усреднения годовых объемов поступлений по данному виду доходов за предшествующие годы</w:t>
            </w:r>
            <w:r w:rsidR="0084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A1EDC" w:rsidRPr="001A1EDC" w:rsidTr="001A1EDC">
        <w:trPr>
          <w:trHeight w:val="3975"/>
        </w:trPr>
        <w:tc>
          <w:tcPr>
            <w:tcW w:w="0" w:type="auto"/>
            <w:vMerge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:rsidR="001A1EDC" w:rsidRPr="001A1EDC" w:rsidRDefault="001A1EDC" w:rsidP="00847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84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оступления средств от уплаты штрафов, неустоек, пеней, уплаченных в случае просрочки исполнения поставщиком (подрядчиком, исполнителем) обязательств, предусмотренных государственным контрактом, заключенным Фондом, запланированы в сумме 7,7 тыс. руб. Расчет производился на основании усреднения годовых объемов поступлений по данному виду доходов за предшествующие годы. Средства направляются на реализацию территориальной программы ОМС в рамках базовой программы ОМС</w:t>
            </w:r>
            <w:r w:rsidR="0084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hideMark/>
          </w:tcPr>
          <w:p w:rsidR="001A1EDC" w:rsidRPr="001A1EDC" w:rsidRDefault="001A1EDC" w:rsidP="008471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</w:t>
            </w:r>
            <w:r w:rsidR="0084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оступления средств от уплаты штрафов, неустоек, пеней, уплаченных в случае просрочки исполнения поставщиком (подрядчиком, исполнителем) обязательств, предусмотренных государственным контрактом, заключенным Фондом, запланированы в сумме 5,5 тыс. руб. Расчет производился на основании усреднения годовых объемов поступлений по данному виду доходов за предшествующие годы. Средства направляются на реализацию территориальной программы ОМС в рамках базовой программы ОМС</w:t>
            </w:r>
            <w:r w:rsidR="0084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1A1EDC" w:rsidRPr="001A1EDC" w:rsidTr="001A1EDC">
        <w:trPr>
          <w:trHeight w:val="4515"/>
        </w:trPr>
        <w:tc>
          <w:tcPr>
            <w:tcW w:w="0" w:type="auto"/>
            <w:vMerge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right w:val="single" w:sz="4" w:space="0" w:color="auto"/>
            </w:tcBorders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C5F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84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оступления иных штрафов, неустоек, </w:t>
            </w:r>
            <w:proofErr w:type="gramStart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пеней, уплаченных в соответствии с законом или договором в случае неисполнения или ненадлежащего исполнения обязательств перед Фондом запланированы</w:t>
            </w:r>
            <w:proofErr w:type="gramEnd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сумме 3 687,5 тыс. руб., в том числе: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поступления средств на формирование НСЗ Фонда для финансового обеспечения мероприятий запланированы в сумме 2 764,4 тыс. рублей. Средства формируются в соответствии с частью 6.3 статьи 26 Федерального закона № 326-ФЗ. Источником формирования средств НСЗ Фонда на финансовое обеспечение мероприятий являются штрафы, применяемые страховыми 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медицинскими организациями и Фондом к медицинским организациям за нарушения, выявленные при проведении контроля объемов, сроков, качества и условий предоставления медицинской помощи. Расчет осуществлялся на основании усреднения годовых объемов поступлений по данному виду доходов за предшествующие годы;</w:t>
            </w:r>
          </w:p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поступления штрафов от страховых медицинских организаций за нарушение обязательств по договорам о финансовом обеспечении ОМС и от медицинских организаций по результатам проведения проверок контрольно-ревизионного отдела Фонда и за нарушение обязательств по 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договорам на оказание и оплату медицинской помощи по ОМС запланированы в размере 923,1 тыс. руб. Расчет производился на основании усреднения годовых объемов поступлений по данному виду доходов за</w:t>
            </w:r>
            <w:proofErr w:type="gramEnd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предшествующие годы. Средства направляются на реализацию территориальной программы ОМС в рамках базовой программы ОМС.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1C5F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</w:t>
            </w:r>
            <w:r w:rsidR="008471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bookmarkStart w:id="0" w:name="_GoBack"/>
            <w:bookmarkEnd w:id="0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оступления иных штрафов, неустоек, </w:t>
            </w:r>
            <w:proofErr w:type="gramStart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пеней, уплаченных в соответствии с законом или договором в случае неисполнения или ненадлежащего исполнения обязательств перед Фондом запланированы</w:t>
            </w:r>
            <w:proofErr w:type="gramEnd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сумме 3 720,6 тыс. руб., в том числе: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поступления средств на формирование НСЗ Фонда для финансового обеспечения мероприятий запланированы в сумме 2 769,9 тыс. руб. Средства формируются в соответствии с частью 6.3 статьи 26 Федерального закона № 326-ФЗ. Источником формирования средств НСЗ Фонда на финансовое обеспечение мероприятий являются штрафы, применяемые страховыми 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медицинскими организациями и Фондом к медицинским организациям за нарушения, выявленные при проведении контроля объемов, сроков, качества и условий предоставления медицинской помощи. Расчет осуществлялся на основании усреднения годовых объемов поступлений по данному виду доходов за предшествующие годы;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поступления штрафов от страховых медицинских организаций за нарушение обязательств по договорам о финансовом обеспечении ОМС и от медицинских организаций по результатам проведения проверок контрольно-ревизионного отдела Фонда и за нарушение обязательств по </w:t>
            </w: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договорам на оказание и оплату медицинской помощи по ОМС запланированы в размере 950,7 тыс. руб. Расчет производился на основании усреднения годовых объемов поступлений по данному виду доходов за</w:t>
            </w:r>
            <w:proofErr w:type="gramEnd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предшествующие годы. Средства направляются на реализацию территориальной программы ОМС в рамках базовой программы ОМС.</w:t>
            </w:r>
          </w:p>
        </w:tc>
      </w:tr>
      <w:tr w:rsidR="001A1EDC" w:rsidRPr="001A1EDC" w:rsidTr="001A1EDC">
        <w:trPr>
          <w:trHeight w:val="796"/>
        </w:trPr>
        <w:tc>
          <w:tcPr>
            <w:tcW w:w="0" w:type="auto"/>
            <w:shd w:val="clear" w:color="auto" w:fill="auto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2 00 00000 00 0000 000 Безвозмездные поступления</w:t>
            </w:r>
          </w:p>
        </w:tc>
        <w:tc>
          <w:tcPr>
            <w:tcW w:w="0" w:type="auto"/>
            <w:shd w:val="clear" w:color="auto" w:fill="auto"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22 402 239 700,00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23 630 660 800,00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EDC" w:rsidRPr="001A1EDC" w:rsidTr="001A1EDC">
        <w:trPr>
          <w:trHeight w:val="3825"/>
        </w:trPr>
        <w:tc>
          <w:tcPr>
            <w:tcW w:w="0" w:type="auto"/>
            <w:shd w:val="clear" w:color="auto" w:fill="auto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395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21 838 983 400,00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107,2%</w:t>
            </w:r>
          </w:p>
        </w:tc>
        <w:tc>
          <w:tcPr>
            <w:tcW w:w="0" w:type="auto"/>
            <w:shd w:val="clear" w:color="auto" w:fill="auto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субвенции запланирован в соответствии с объемом расходов бюджета ФОМС и рассчитан в соответствии с  Постановлением Правительства РФ № 462 и проектом Программы государственных гарантий: 16 966,6 руб.  (</w:t>
            </w:r>
            <w:proofErr w:type="spellStart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на одного застрахованного за счет субвенции ФОМС на 2024 год) х 1 287 175 чел. (численность застрахованного  населения ЯО на 01.01.2022)/1000 = 21 838 983,4 тыс. руб.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23 040 046 300,00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105,5%</w:t>
            </w:r>
          </w:p>
        </w:tc>
        <w:tc>
          <w:tcPr>
            <w:tcW w:w="0" w:type="auto"/>
            <w:shd w:val="clear" w:color="auto" w:fill="auto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субвенции запланирован в соответствии с объемом расходов бюджета ФОМС и рассчитан в соответствии с  Постановлением Правительства РФ № 462 и проектом Программы государственных гарантий: 17 899,7 руб.  (</w:t>
            </w:r>
            <w:proofErr w:type="spellStart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 финансирования на одного застрахованного за счет субвенции ФОМС на 2025 год) х 1 287 175 чел. (численность застрахованного  населения ЯО на 01.01.2022)/1000 = 23 040 046,3 тыс. руб. </w:t>
            </w:r>
            <w:proofErr w:type="gramEnd"/>
          </w:p>
        </w:tc>
      </w:tr>
      <w:tr w:rsidR="001A1EDC" w:rsidRPr="001A1EDC" w:rsidTr="001A1EDC">
        <w:trPr>
          <w:trHeight w:val="2355"/>
        </w:trPr>
        <w:tc>
          <w:tcPr>
            <w:tcW w:w="0" w:type="auto"/>
            <w:shd w:val="clear" w:color="auto" w:fill="auto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395 2 02 59999 09 0000 150</w:t>
            </w:r>
            <w:proofErr w:type="gramStart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proofErr w:type="gramEnd"/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рочие межбюджетные трансферты, передаваемые бюджетам территориальных фондов обязательного медицинского страхования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563 256 300,00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104,5%</w:t>
            </w:r>
          </w:p>
        </w:tc>
        <w:tc>
          <w:tcPr>
            <w:tcW w:w="0" w:type="auto"/>
            <w:shd w:val="clear" w:color="auto" w:fill="auto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осуществлялся на основании усреднения годовых объемов поступлений по данному виду доходов за предшествующие годы.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590 614 500,00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104,9%</w:t>
            </w:r>
          </w:p>
        </w:tc>
        <w:tc>
          <w:tcPr>
            <w:tcW w:w="0" w:type="auto"/>
            <w:shd w:val="clear" w:color="auto" w:fill="auto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осуществлялся на основании усреднения годовых объемов поступлений по данному виду доходов за предшествующие годы.</w:t>
            </w:r>
          </w:p>
        </w:tc>
      </w:tr>
      <w:tr w:rsidR="001A1EDC" w:rsidRPr="001A1EDC" w:rsidTr="001A1EDC">
        <w:trPr>
          <w:trHeight w:val="375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1A1EDC" w:rsidRPr="001A1EDC" w:rsidRDefault="001A1EDC" w:rsidP="001A1E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 ДОХОДОВ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22 495 151 800,00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107,2%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23 718 991 500,00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105,4%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1A1EDC" w:rsidRPr="001A1EDC" w:rsidRDefault="001A1EDC" w:rsidP="001A1E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1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1A1EDC" w:rsidRDefault="001A1EDC"/>
    <w:sectPr w:rsidR="001A1EDC" w:rsidSect="001A1EDC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EDC" w:rsidRDefault="001A1EDC" w:rsidP="001A1EDC">
      <w:pPr>
        <w:spacing w:after="0" w:line="240" w:lineRule="auto"/>
      </w:pPr>
      <w:r>
        <w:separator/>
      </w:r>
    </w:p>
  </w:endnote>
  <w:endnote w:type="continuationSeparator" w:id="0">
    <w:p w:rsidR="001A1EDC" w:rsidRDefault="001A1EDC" w:rsidP="001A1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EDC" w:rsidRDefault="001A1EDC" w:rsidP="001A1EDC">
      <w:pPr>
        <w:spacing w:after="0" w:line="240" w:lineRule="auto"/>
      </w:pPr>
      <w:r>
        <w:separator/>
      </w:r>
    </w:p>
  </w:footnote>
  <w:footnote w:type="continuationSeparator" w:id="0">
    <w:p w:rsidR="001A1EDC" w:rsidRDefault="001A1EDC" w:rsidP="001A1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6138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A1EDC" w:rsidRPr="001A1EDC" w:rsidRDefault="001A1EDC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A1ED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A1ED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A1ED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471A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A1ED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A1EDC" w:rsidRDefault="001A1E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EDC"/>
    <w:rsid w:val="001A1EDC"/>
    <w:rsid w:val="004544D4"/>
    <w:rsid w:val="008471A3"/>
    <w:rsid w:val="00906E14"/>
    <w:rsid w:val="00E2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1EDC"/>
  </w:style>
  <w:style w:type="paragraph" w:styleId="a5">
    <w:name w:val="footer"/>
    <w:basedOn w:val="a"/>
    <w:link w:val="a6"/>
    <w:uiPriority w:val="99"/>
    <w:unhideWhenUsed/>
    <w:rsid w:val="001A1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1E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1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1EDC"/>
  </w:style>
  <w:style w:type="paragraph" w:styleId="a5">
    <w:name w:val="footer"/>
    <w:basedOn w:val="a"/>
    <w:link w:val="a6"/>
    <w:uiPriority w:val="99"/>
    <w:unhideWhenUsed/>
    <w:rsid w:val="001A1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A1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40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1137</Words>
  <Characters>6487</Characters>
  <Application>Microsoft Office Word</Application>
  <DocSecurity>0</DocSecurity>
  <Lines>54</Lines>
  <Paragraphs>15</Paragraphs>
  <ScaleCrop>false</ScaleCrop>
  <Company/>
  <LinksUpToDate>false</LinksUpToDate>
  <CharactersWithSpaces>7609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Овсянникова</dc:creator>
  <cp:lastModifiedBy>Травников Сергей Викторович</cp:lastModifiedBy>
  <cp:revision>4</cp:revision>
  <dcterms:created xsi:type="dcterms:W3CDTF">2022-10-24T10:31:00Z</dcterms:created>
  <dcterms:modified xsi:type="dcterms:W3CDTF">2022-10-25T09:24:00Z</dcterms:modified>
</cp:coreProperties>
</file>