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3C19" w:rsidRDefault="00DA5952" w:rsidP="00D03C19">
      <w:pPr>
        <w:spacing w:after="0" w:line="240" w:lineRule="auto"/>
        <w:jc w:val="center"/>
        <w:rPr>
          <w:rFonts w:ascii="Times New Roman" w:hAnsi="Times New Roman" w:cs="Times New Roman"/>
          <w:b/>
          <w:sz w:val="28"/>
          <w:szCs w:val="28"/>
        </w:rPr>
      </w:pPr>
      <w:r w:rsidRPr="00110687">
        <w:rPr>
          <w:rFonts w:ascii="Times New Roman" w:hAnsi="Times New Roman" w:cs="Times New Roman"/>
          <w:b/>
          <w:sz w:val="28"/>
          <w:szCs w:val="28"/>
        </w:rPr>
        <w:t xml:space="preserve">Доходы бюджета Территориального фонда обязательного медицинского страхования </w:t>
      </w:r>
    </w:p>
    <w:p w:rsidR="00DA5952" w:rsidRDefault="00DA5952" w:rsidP="00D03C19">
      <w:pPr>
        <w:spacing w:after="0" w:line="240" w:lineRule="auto"/>
        <w:jc w:val="center"/>
        <w:rPr>
          <w:rFonts w:ascii="Times New Roman" w:hAnsi="Times New Roman" w:cs="Times New Roman"/>
          <w:b/>
          <w:sz w:val="28"/>
          <w:szCs w:val="28"/>
        </w:rPr>
      </w:pPr>
      <w:r w:rsidRPr="00110687">
        <w:rPr>
          <w:rFonts w:ascii="Times New Roman" w:hAnsi="Times New Roman" w:cs="Times New Roman"/>
          <w:b/>
          <w:sz w:val="28"/>
          <w:szCs w:val="28"/>
        </w:rPr>
        <w:t>Ярославской области на 2023 год и оценка ожидаемого исполнения на 2022 год</w:t>
      </w:r>
    </w:p>
    <w:p w:rsidR="00915927" w:rsidRPr="00D03C19" w:rsidRDefault="00D03C19" w:rsidP="00D03C19">
      <w:pPr>
        <w:spacing w:after="0" w:line="240" w:lineRule="auto"/>
        <w:jc w:val="right"/>
        <w:rPr>
          <w:rFonts w:ascii="Times New Roman" w:hAnsi="Times New Roman" w:cs="Times New Roman"/>
          <w:sz w:val="24"/>
          <w:szCs w:val="24"/>
        </w:rPr>
      </w:pPr>
      <w:r w:rsidRPr="00D03C19">
        <w:rPr>
          <w:rFonts w:ascii="Times New Roman" w:hAnsi="Times New Roman" w:cs="Times New Roman"/>
          <w:sz w:val="24"/>
          <w:szCs w:val="24"/>
        </w:rPr>
        <w:t>(руб.)</w:t>
      </w:r>
    </w:p>
    <w:tbl>
      <w:tblPr>
        <w:tblW w:w="15841"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8"/>
        <w:gridCol w:w="3541"/>
        <w:gridCol w:w="1838"/>
        <w:gridCol w:w="1804"/>
        <w:gridCol w:w="1847"/>
        <w:gridCol w:w="756"/>
        <w:gridCol w:w="5992"/>
        <w:gridCol w:w="55"/>
      </w:tblGrid>
      <w:tr w:rsidR="00DA5952" w:rsidRPr="008732CD" w:rsidTr="00BF2D72">
        <w:trPr>
          <w:gridBefore w:val="1"/>
          <w:gridAfter w:val="1"/>
          <w:wBefore w:w="8" w:type="dxa"/>
          <w:wAfter w:w="55" w:type="dxa"/>
          <w:trHeight w:val="1624"/>
        </w:trPr>
        <w:tc>
          <w:tcPr>
            <w:tcW w:w="3541" w:type="dxa"/>
            <w:shd w:val="clear" w:color="auto" w:fill="auto"/>
            <w:vAlign w:val="center"/>
            <w:hideMark/>
          </w:tcPr>
          <w:p w:rsidR="00DA5952" w:rsidRPr="008732CD" w:rsidRDefault="00DA5952" w:rsidP="00DA5952">
            <w:pPr>
              <w:spacing w:after="0" w:line="240" w:lineRule="auto"/>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Наименование кода дохода</w:t>
            </w:r>
          </w:p>
        </w:tc>
        <w:tc>
          <w:tcPr>
            <w:tcW w:w="1838" w:type="dxa"/>
            <w:shd w:val="clear" w:color="auto" w:fill="auto"/>
            <w:vAlign w:val="center"/>
            <w:hideMark/>
          </w:tcPr>
          <w:p w:rsidR="00DA5952" w:rsidRPr="008732CD" w:rsidRDefault="00DA5952" w:rsidP="00D03C19">
            <w:pPr>
              <w:spacing w:after="0" w:line="240" w:lineRule="auto"/>
              <w:jc w:val="center"/>
              <w:rPr>
                <w:rFonts w:ascii="Times New Roman" w:eastAsia="Times New Roman" w:hAnsi="Times New Roman" w:cs="Times New Roman"/>
                <w:b/>
                <w:bCs/>
                <w:color w:val="000000"/>
                <w:lang w:eastAsia="ru-RU"/>
              </w:rPr>
            </w:pPr>
            <w:r w:rsidRPr="008732CD">
              <w:rPr>
                <w:rFonts w:ascii="Times New Roman" w:eastAsia="Times New Roman" w:hAnsi="Times New Roman" w:cs="Times New Roman"/>
                <w:b/>
                <w:bCs/>
                <w:color w:val="000000"/>
                <w:lang w:eastAsia="ru-RU"/>
              </w:rPr>
              <w:t>Утверждено Законом ЯО от 15.12.2021 № 89-з (в ред. Законов ЯО от 06.05.2022 № 15-з; от 01.07.2022 № 29-з)</w:t>
            </w:r>
          </w:p>
        </w:tc>
        <w:tc>
          <w:tcPr>
            <w:tcW w:w="1804" w:type="dxa"/>
            <w:shd w:val="clear" w:color="auto" w:fill="auto"/>
            <w:vAlign w:val="center"/>
            <w:hideMark/>
          </w:tcPr>
          <w:p w:rsidR="00DA5952" w:rsidRPr="008732CD" w:rsidRDefault="00DA5952" w:rsidP="00D03C19">
            <w:pPr>
              <w:spacing w:after="0" w:line="240" w:lineRule="auto"/>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Оценка ожидаемого исполнения на 2022 год</w:t>
            </w:r>
          </w:p>
        </w:tc>
        <w:tc>
          <w:tcPr>
            <w:tcW w:w="1847" w:type="dxa"/>
            <w:shd w:val="clear" w:color="auto" w:fill="auto"/>
            <w:vAlign w:val="center"/>
            <w:hideMark/>
          </w:tcPr>
          <w:p w:rsidR="00DA5952" w:rsidRPr="008732CD" w:rsidRDefault="00DA5952" w:rsidP="00D03C19">
            <w:pPr>
              <w:spacing w:after="0" w:line="240" w:lineRule="auto"/>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Проект бюджета</w:t>
            </w:r>
            <w:r w:rsidRPr="008732CD">
              <w:rPr>
                <w:rFonts w:ascii="Times New Roman" w:eastAsia="Times New Roman" w:hAnsi="Times New Roman" w:cs="Times New Roman"/>
                <w:b/>
                <w:bCs/>
                <w:lang w:eastAsia="ru-RU"/>
              </w:rPr>
              <w:br/>
              <w:t>на 2023 год</w:t>
            </w:r>
          </w:p>
        </w:tc>
        <w:tc>
          <w:tcPr>
            <w:tcW w:w="756" w:type="dxa"/>
            <w:shd w:val="clear" w:color="auto" w:fill="auto"/>
            <w:vAlign w:val="center"/>
            <w:hideMark/>
          </w:tcPr>
          <w:p w:rsidR="00EC6028" w:rsidRDefault="00DA5952" w:rsidP="00EC6028">
            <w:pPr>
              <w:spacing w:after="0" w:line="240" w:lineRule="auto"/>
              <w:ind w:left="-59" w:right="-83" w:firstLine="14"/>
              <w:jc w:val="center"/>
              <w:rPr>
                <w:rFonts w:ascii="Times New Roman" w:eastAsia="Times New Roman" w:hAnsi="Times New Roman" w:cs="Times New Roman"/>
                <w:b/>
                <w:bCs/>
                <w:lang w:val="en-US" w:eastAsia="ru-RU"/>
              </w:rPr>
            </w:pPr>
            <w:r w:rsidRPr="008732CD">
              <w:rPr>
                <w:rFonts w:ascii="Times New Roman" w:eastAsia="Times New Roman" w:hAnsi="Times New Roman" w:cs="Times New Roman"/>
                <w:b/>
                <w:bCs/>
                <w:lang w:eastAsia="ru-RU"/>
              </w:rPr>
              <w:t>гр.5= гр.4/</w:t>
            </w:r>
          </w:p>
          <w:p w:rsidR="00DA5952" w:rsidRPr="008732CD" w:rsidRDefault="00DA5952" w:rsidP="00EC6028">
            <w:pPr>
              <w:spacing w:after="0" w:line="240" w:lineRule="auto"/>
              <w:ind w:left="-59" w:right="-83" w:firstLine="14"/>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гр.3, %</w:t>
            </w:r>
          </w:p>
        </w:tc>
        <w:tc>
          <w:tcPr>
            <w:tcW w:w="5992" w:type="dxa"/>
            <w:shd w:val="clear" w:color="auto" w:fill="auto"/>
            <w:vAlign w:val="center"/>
            <w:hideMark/>
          </w:tcPr>
          <w:p w:rsidR="00DA5952" w:rsidRPr="008732CD" w:rsidRDefault="00DA5952" w:rsidP="00DA5952">
            <w:pPr>
              <w:spacing w:after="0" w:line="240" w:lineRule="auto"/>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Расчеты (обоснования) показателей на 2023 год</w:t>
            </w:r>
          </w:p>
        </w:tc>
      </w:tr>
      <w:tr w:rsidR="00D96B80" w:rsidRPr="008732CD" w:rsidTr="00BF2D72">
        <w:trPr>
          <w:gridBefore w:val="1"/>
          <w:gridAfter w:val="1"/>
          <w:wBefore w:w="8" w:type="dxa"/>
          <w:wAfter w:w="55" w:type="dxa"/>
          <w:trHeight w:val="322"/>
        </w:trPr>
        <w:tc>
          <w:tcPr>
            <w:tcW w:w="3541" w:type="dxa"/>
            <w:shd w:val="clear" w:color="auto" w:fill="auto"/>
            <w:vAlign w:val="center"/>
          </w:tcPr>
          <w:p w:rsidR="00D96B80" w:rsidRPr="008732CD" w:rsidRDefault="00D96B80" w:rsidP="00D96B80">
            <w:pPr>
              <w:spacing w:after="0" w:line="240" w:lineRule="auto"/>
              <w:jc w:val="center"/>
              <w:rPr>
                <w:rFonts w:ascii="Times New Roman" w:eastAsia="Times New Roman" w:hAnsi="Times New Roman" w:cs="Times New Roman"/>
                <w:bCs/>
                <w:lang w:eastAsia="ru-RU"/>
              </w:rPr>
            </w:pPr>
            <w:r w:rsidRPr="008732CD">
              <w:rPr>
                <w:rFonts w:ascii="Times New Roman" w:eastAsia="Times New Roman" w:hAnsi="Times New Roman" w:cs="Times New Roman"/>
                <w:bCs/>
                <w:lang w:eastAsia="ru-RU"/>
              </w:rPr>
              <w:t>1</w:t>
            </w:r>
          </w:p>
        </w:tc>
        <w:tc>
          <w:tcPr>
            <w:tcW w:w="1838" w:type="dxa"/>
            <w:shd w:val="clear" w:color="auto" w:fill="auto"/>
            <w:vAlign w:val="center"/>
          </w:tcPr>
          <w:p w:rsidR="00D96B80" w:rsidRPr="008732CD" w:rsidRDefault="00D96B80" w:rsidP="00D96B80">
            <w:pPr>
              <w:spacing w:after="0" w:line="240" w:lineRule="auto"/>
              <w:jc w:val="center"/>
              <w:rPr>
                <w:rFonts w:ascii="Times New Roman" w:eastAsia="Times New Roman" w:hAnsi="Times New Roman" w:cs="Times New Roman"/>
                <w:bCs/>
                <w:lang w:eastAsia="ru-RU"/>
              </w:rPr>
            </w:pPr>
            <w:r w:rsidRPr="008732CD">
              <w:rPr>
                <w:rFonts w:ascii="Times New Roman" w:eastAsia="Times New Roman" w:hAnsi="Times New Roman" w:cs="Times New Roman"/>
                <w:bCs/>
                <w:lang w:eastAsia="ru-RU"/>
              </w:rPr>
              <w:t>2</w:t>
            </w:r>
          </w:p>
        </w:tc>
        <w:tc>
          <w:tcPr>
            <w:tcW w:w="1804" w:type="dxa"/>
            <w:shd w:val="clear" w:color="auto" w:fill="auto"/>
            <w:vAlign w:val="center"/>
          </w:tcPr>
          <w:p w:rsidR="00D96B80" w:rsidRPr="008732CD" w:rsidRDefault="00D96B80" w:rsidP="00D96B80">
            <w:pPr>
              <w:spacing w:after="0" w:line="240" w:lineRule="auto"/>
              <w:jc w:val="center"/>
              <w:rPr>
                <w:rFonts w:ascii="Times New Roman" w:eastAsia="Times New Roman" w:hAnsi="Times New Roman" w:cs="Times New Roman"/>
                <w:bCs/>
                <w:lang w:eastAsia="ru-RU"/>
              </w:rPr>
            </w:pPr>
            <w:r w:rsidRPr="008732CD">
              <w:rPr>
                <w:rFonts w:ascii="Times New Roman" w:eastAsia="Times New Roman" w:hAnsi="Times New Roman" w:cs="Times New Roman"/>
                <w:bCs/>
                <w:lang w:eastAsia="ru-RU"/>
              </w:rPr>
              <w:t>3</w:t>
            </w:r>
          </w:p>
        </w:tc>
        <w:tc>
          <w:tcPr>
            <w:tcW w:w="1847" w:type="dxa"/>
            <w:shd w:val="clear" w:color="auto" w:fill="auto"/>
            <w:vAlign w:val="center"/>
          </w:tcPr>
          <w:p w:rsidR="00D96B80" w:rsidRPr="008732CD" w:rsidRDefault="00D96B80" w:rsidP="00D96B80">
            <w:pPr>
              <w:spacing w:after="0" w:line="240" w:lineRule="auto"/>
              <w:jc w:val="center"/>
              <w:rPr>
                <w:rFonts w:ascii="Times New Roman" w:eastAsia="Times New Roman" w:hAnsi="Times New Roman" w:cs="Times New Roman"/>
                <w:bCs/>
                <w:lang w:eastAsia="ru-RU"/>
              </w:rPr>
            </w:pPr>
            <w:r w:rsidRPr="008732CD">
              <w:rPr>
                <w:rFonts w:ascii="Times New Roman" w:eastAsia="Times New Roman" w:hAnsi="Times New Roman" w:cs="Times New Roman"/>
                <w:bCs/>
                <w:lang w:eastAsia="ru-RU"/>
              </w:rPr>
              <w:t>4</w:t>
            </w:r>
          </w:p>
        </w:tc>
        <w:tc>
          <w:tcPr>
            <w:tcW w:w="756" w:type="dxa"/>
            <w:shd w:val="clear" w:color="auto" w:fill="auto"/>
            <w:noWrap/>
            <w:vAlign w:val="center"/>
          </w:tcPr>
          <w:p w:rsidR="00D96B80" w:rsidRPr="008732CD" w:rsidRDefault="00D96B80" w:rsidP="00D96B80">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5</w:t>
            </w:r>
          </w:p>
        </w:tc>
        <w:tc>
          <w:tcPr>
            <w:tcW w:w="5992" w:type="dxa"/>
            <w:shd w:val="clear" w:color="auto" w:fill="auto"/>
            <w:vAlign w:val="center"/>
          </w:tcPr>
          <w:p w:rsidR="00D96B80" w:rsidRPr="008732CD" w:rsidRDefault="00D96B80" w:rsidP="00D96B80">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6</w:t>
            </w:r>
          </w:p>
        </w:tc>
      </w:tr>
      <w:tr w:rsidR="009C332B" w:rsidRPr="008732CD" w:rsidTr="00BF2D72">
        <w:trPr>
          <w:gridBefore w:val="1"/>
          <w:gridAfter w:val="1"/>
          <w:wBefore w:w="8" w:type="dxa"/>
          <w:wAfter w:w="55" w:type="dxa"/>
          <w:trHeight w:val="322"/>
        </w:trPr>
        <w:tc>
          <w:tcPr>
            <w:tcW w:w="3541" w:type="dxa"/>
            <w:shd w:val="clear" w:color="auto" w:fill="auto"/>
            <w:hideMark/>
          </w:tcPr>
          <w:p w:rsidR="00DA5952" w:rsidRPr="008732CD" w:rsidRDefault="00DA5952" w:rsidP="00DA5952">
            <w:pPr>
              <w:spacing w:after="0" w:line="240" w:lineRule="auto"/>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000 1 00 00000 00 0000 000 Налоговые и неналоговые доходы</w:t>
            </w:r>
          </w:p>
        </w:tc>
        <w:tc>
          <w:tcPr>
            <w:tcW w:w="1838" w:type="dxa"/>
            <w:shd w:val="clear" w:color="auto" w:fill="auto"/>
            <w:hideMark/>
          </w:tcPr>
          <w:p w:rsidR="00DA5952" w:rsidRPr="008732CD" w:rsidRDefault="00DA5952" w:rsidP="00DA5952">
            <w:pPr>
              <w:spacing w:after="0" w:line="240" w:lineRule="auto"/>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64 657 155,18</w:t>
            </w:r>
          </w:p>
        </w:tc>
        <w:tc>
          <w:tcPr>
            <w:tcW w:w="1804" w:type="dxa"/>
            <w:shd w:val="clear" w:color="auto" w:fill="auto"/>
            <w:hideMark/>
          </w:tcPr>
          <w:p w:rsidR="00DA5952" w:rsidRPr="008732CD" w:rsidRDefault="00DA5952" w:rsidP="00DA5952">
            <w:pPr>
              <w:spacing w:after="0" w:line="240" w:lineRule="auto"/>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100 974 248,50</w:t>
            </w:r>
          </w:p>
        </w:tc>
        <w:tc>
          <w:tcPr>
            <w:tcW w:w="1847" w:type="dxa"/>
            <w:shd w:val="clear" w:color="auto" w:fill="auto"/>
            <w:hideMark/>
          </w:tcPr>
          <w:p w:rsidR="00DA5952" w:rsidRPr="008732CD" w:rsidRDefault="00DA5952" w:rsidP="00DA5952">
            <w:pPr>
              <w:spacing w:after="0" w:line="240" w:lineRule="auto"/>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81 623 000,00</w:t>
            </w:r>
          </w:p>
        </w:tc>
        <w:tc>
          <w:tcPr>
            <w:tcW w:w="756" w:type="dxa"/>
            <w:shd w:val="clear" w:color="auto" w:fill="auto"/>
            <w:noWrap/>
            <w:hideMark/>
          </w:tcPr>
          <w:p w:rsidR="00DA5952" w:rsidRPr="008732CD" w:rsidRDefault="00DA5952"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80,8%</w:t>
            </w:r>
          </w:p>
        </w:tc>
        <w:tc>
          <w:tcPr>
            <w:tcW w:w="5992" w:type="dxa"/>
            <w:shd w:val="clear" w:color="auto" w:fill="auto"/>
            <w:hideMark/>
          </w:tcPr>
          <w:p w:rsidR="00DA5952" w:rsidRPr="008732CD" w:rsidRDefault="00DA5952" w:rsidP="00C2051F">
            <w:pPr>
              <w:spacing w:after="0" w:line="240" w:lineRule="auto"/>
              <w:rPr>
                <w:rFonts w:ascii="Times New Roman" w:eastAsia="Times New Roman" w:hAnsi="Times New Roman" w:cs="Times New Roman"/>
                <w:lang w:eastAsia="ru-RU"/>
              </w:rPr>
            </w:pPr>
            <w:proofErr w:type="gramStart"/>
            <w:r w:rsidRPr="008732CD">
              <w:rPr>
                <w:rFonts w:ascii="Times New Roman" w:eastAsia="Times New Roman" w:hAnsi="Times New Roman" w:cs="Times New Roman"/>
                <w:lang w:eastAsia="ru-RU"/>
              </w:rPr>
              <w:t>Неналоговые доходы запланированы в сумме 81 623,0 тыс. руб., из них:</w:t>
            </w:r>
            <w:r w:rsidRPr="008732CD">
              <w:rPr>
                <w:rFonts w:ascii="Times New Roman" w:eastAsia="Times New Roman" w:hAnsi="Times New Roman" w:cs="Times New Roman"/>
                <w:lang w:eastAsia="ru-RU"/>
              </w:rPr>
              <w:br/>
              <w:t xml:space="preserve">1) </w:t>
            </w:r>
            <w:r w:rsidR="00C2051F">
              <w:rPr>
                <w:rFonts w:ascii="Times New Roman" w:eastAsia="Times New Roman" w:hAnsi="Times New Roman" w:cs="Times New Roman"/>
                <w:lang w:eastAsia="ru-RU"/>
              </w:rPr>
              <w:t>п</w:t>
            </w:r>
            <w:r w:rsidRPr="008732CD">
              <w:rPr>
                <w:rFonts w:ascii="Times New Roman" w:eastAsia="Times New Roman" w:hAnsi="Times New Roman" w:cs="Times New Roman"/>
                <w:lang w:eastAsia="ru-RU"/>
              </w:rPr>
              <w:t>оступления прочих доходов от компенсации затрат бюджетов территориальных фондов обязательного медицинского страхования на формирование нормированного страхового запаса Фонда для финансового обеспечения мероприятий по организации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 (далее – НСЗ Фонда, финансовое обеспечение мероприятий</w:t>
            </w:r>
            <w:proofErr w:type="gramEnd"/>
            <w:r w:rsidRPr="008732CD">
              <w:rPr>
                <w:rFonts w:ascii="Times New Roman" w:eastAsia="Times New Roman" w:hAnsi="Times New Roman" w:cs="Times New Roman"/>
                <w:lang w:eastAsia="ru-RU"/>
              </w:rPr>
              <w:t xml:space="preserve">) запланированы в сумме 78 197,4 тыс. руб. Средства формируются в соответствии с частью 6.3 статьи 26 Федерального закона от 29.11.2010 № 326-ФЗ «Об </w:t>
            </w:r>
            <w:r w:rsidR="00817E68" w:rsidRPr="008732CD">
              <w:rPr>
                <w:rFonts w:ascii="Times New Roman" w:eastAsia="Times New Roman" w:hAnsi="Times New Roman" w:cs="Times New Roman"/>
                <w:lang w:eastAsia="ru-RU"/>
              </w:rPr>
              <w:t xml:space="preserve">обязательном медицинском </w:t>
            </w:r>
            <w:r w:rsidR="008732CD" w:rsidRPr="008732CD">
              <w:rPr>
                <w:rFonts w:ascii="Times New Roman" w:eastAsia="Times New Roman" w:hAnsi="Times New Roman" w:cs="Times New Roman"/>
                <w:lang w:eastAsia="ru-RU"/>
              </w:rPr>
              <w:t>страховании в Российской Федерации» (далее - Федеральный закон№ 326-ФЗ). Источником формирования средств НСЗ Фонда на финансовое обеспечение мероприятий являются санкции, применяемые страховыми медицинскими организациями и</w:t>
            </w:r>
            <w:r w:rsidR="00EC6028" w:rsidRPr="008732CD">
              <w:rPr>
                <w:rFonts w:ascii="Times New Roman" w:eastAsia="Times New Roman" w:hAnsi="Times New Roman" w:cs="Times New Roman"/>
                <w:lang w:eastAsia="ru-RU"/>
              </w:rPr>
              <w:t xml:space="preserve"> Фондом к медицинским организациям за нарушения, выявленные при проведении контроля объемов, сроков, качества и условий предоставления медицинской помощи. Расчет осуществлялся на основании усреднения </w:t>
            </w:r>
            <w:proofErr w:type="gramStart"/>
            <w:r w:rsidR="00EC6028" w:rsidRPr="008732CD">
              <w:rPr>
                <w:rFonts w:ascii="Times New Roman" w:eastAsia="Times New Roman" w:hAnsi="Times New Roman" w:cs="Times New Roman"/>
                <w:lang w:eastAsia="ru-RU"/>
              </w:rPr>
              <w:t>годовых</w:t>
            </w:r>
            <w:proofErr w:type="gramEnd"/>
          </w:p>
        </w:tc>
      </w:tr>
      <w:tr w:rsidR="00E3776F" w:rsidRPr="008732CD" w:rsidTr="00BF2D72">
        <w:tblPrEx>
          <w:tblCellMar>
            <w:left w:w="108" w:type="dxa"/>
            <w:right w:w="108" w:type="dxa"/>
          </w:tblCellMar>
        </w:tblPrEx>
        <w:trPr>
          <w:trHeight w:val="316"/>
        </w:trPr>
        <w:tc>
          <w:tcPr>
            <w:tcW w:w="3549" w:type="dxa"/>
            <w:gridSpan w:val="2"/>
            <w:shd w:val="clear" w:color="auto" w:fill="auto"/>
          </w:tcPr>
          <w:p w:rsidR="00D96B80" w:rsidRPr="008732CD" w:rsidRDefault="00D96B80" w:rsidP="00DA5952">
            <w:pPr>
              <w:spacing w:after="0" w:line="240" w:lineRule="auto"/>
              <w:rPr>
                <w:rFonts w:ascii="Times New Roman" w:eastAsia="Times New Roman" w:hAnsi="Times New Roman" w:cs="Times New Roman"/>
                <w:b/>
                <w:bCs/>
                <w:lang w:eastAsia="ru-RU"/>
              </w:rPr>
            </w:pPr>
          </w:p>
        </w:tc>
        <w:tc>
          <w:tcPr>
            <w:tcW w:w="1838" w:type="dxa"/>
            <w:shd w:val="clear" w:color="auto" w:fill="auto"/>
          </w:tcPr>
          <w:p w:rsidR="00D96B80" w:rsidRPr="008732CD" w:rsidRDefault="00D96B80" w:rsidP="00DA5952">
            <w:pPr>
              <w:spacing w:after="0" w:line="240" w:lineRule="auto"/>
              <w:jc w:val="center"/>
              <w:rPr>
                <w:rFonts w:ascii="Times New Roman" w:eastAsia="Times New Roman" w:hAnsi="Times New Roman" w:cs="Times New Roman"/>
                <w:b/>
                <w:bCs/>
                <w:lang w:eastAsia="ru-RU"/>
              </w:rPr>
            </w:pPr>
          </w:p>
        </w:tc>
        <w:tc>
          <w:tcPr>
            <w:tcW w:w="1804" w:type="dxa"/>
            <w:shd w:val="clear" w:color="auto" w:fill="auto"/>
          </w:tcPr>
          <w:p w:rsidR="00D96B80" w:rsidRPr="008732CD" w:rsidRDefault="00D96B80" w:rsidP="00DA5952">
            <w:pPr>
              <w:spacing w:after="0" w:line="240" w:lineRule="auto"/>
              <w:jc w:val="center"/>
              <w:rPr>
                <w:rFonts w:ascii="Times New Roman" w:eastAsia="Times New Roman" w:hAnsi="Times New Roman" w:cs="Times New Roman"/>
                <w:b/>
                <w:bCs/>
                <w:lang w:eastAsia="ru-RU"/>
              </w:rPr>
            </w:pPr>
          </w:p>
        </w:tc>
        <w:tc>
          <w:tcPr>
            <w:tcW w:w="1847" w:type="dxa"/>
            <w:shd w:val="clear" w:color="auto" w:fill="auto"/>
          </w:tcPr>
          <w:p w:rsidR="00D96B80" w:rsidRPr="008732CD" w:rsidRDefault="00D96B80" w:rsidP="00DA5952">
            <w:pPr>
              <w:spacing w:after="0" w:line="240" w:lineRule="auto"/>
              <w:jc w:val="center"/>
              <w:rPr>
                <w:rFonts w:ascii="Times New Roman" w:eastAsia="Times New Roman" w:hAnsi="Times New Roman" w:cs="Times New Roman"/>
                <w:b/>
                <w:bCs/>
                <w:lang w:eastAsia="ru-RU"/>
              </w:rPr>
            </w:pPr>
          </w:p>
        </w:tc>
        <w:tc>
          <w:tcPr>
            <w:tcW w:w="756" w:type="dxa"/>
            <w:shd w:val="clear" w:color="auto" w:fill="auto"/>
            <w:noWrap/>
          </w:tcPr>
          <w:p w:rsidR="00D96B80" w:rsidRPr="008732CD" w:rsidRDefault="00D96B80" w:rsidP="00DA5952">
            <w:pPr>
              <w:spacing w:after="0" w:line="240" w:lineRule="auto"/>
              <w:jc w:val="center"/>
              <w:rPr>
                <w:rFonts w:ascii="Times New Roman" w:eastAsia="Times New Roman" w:hAnsi="Times New Roman" w:cs="Times New Roman"/>
                <w:lang w:eastAsia="ru-RU"/>
              </w:rPr>
            </w:pPr>
          </w:p>
        </w:tc>
        <w:tc>
          <w:tcPr>
            <w:tcW w:w="6047" w:type="dxa"/>
            <w:gridSpan w:val="2"/>
            <w:shd w:val="clear" w:color="auto" w:fill="auto"/>
          </w:tcPr>
          <w:p w:rsidR="00D96B80" w:rsidRPr="008732CD" w:rsidRDefault="00D96B80" w:rsidP="00C2051F">
            <w:pPr>
              <w:spacing w:after="0" w:line="240" w:lineRule="auto"/>
              <w:rPr>
                <w:rFonts w:ascii="Times New Roman" w:eastAsia="Times New Roman" w:hAnsi="Times New Roman" w:cs="Times New Roman"/>
                <w:b/>
                <w:bCs/>
                <w:lang w:eastAsia="ru-RU"/>
              </w:rPr>
            </w:pPr>
            <w:proofErr w:type="gramStart"/>
            <w:r w:rsidRPr="008732CD">
              <w:rPr>
                <w:rFonts w:ascii="Times New Roman" w:eastAsia="Times New Roman" w:hAnsi="Times New Roman" w:cs="Times New Roman"/>
                <w:lang w:eastAsia="ru-RU"/>
              </w:rPr>
              <w:t>объемов поступлений по данному виду доходов за предшествующие годы</w:t>
            </w:r>
            <w:r w:rsidR="00C2051F">
              <w:rPr>
                <w:rFonts w:ascii="Times New Roman" w:eastAsia="Times New Roman" w:hAnsi="Times New Roman" w:cs="Times New Roman"/>
                <w:lang w:eastAsia="ru-RU"/>
              </w:rPr>
              <w:t>;</w:t>
            </w:r>
            <w:r w:rsidRPr="008732CD">
              <w:rPr>
                <w:rFonts w:ascii="Times New Roman" w:eastAsia="Times New Roman" w:hAnsi="Times New Roman" w:cs="Times New Roman"/>
                <w:lang w:eastAsia="ru-RU"/>
              </w:rPr>
              <w:br/>
              <w:t xml:space="preserve">2) </w:t>
            </w:r>
            <w:r w:rsidR="00C2051F">
              <w:rPr>
                <w:rFonts w:ascii="Times New Roman" w:eastAsia="Times New Roman" w:hAnsi="Times New Roman" w:cs="Times New Roman"/>
                <w:lang w:eastAsia="ru-RU"/>
              </w:rPr>
              <w:t>п</w:t>
            </w:r>
            <w:r w:rsidRPr="008732CD">
              <w:rPr>
                <w:rFonts w:ascii="Times New Roman" w:eastAsia="Times New Roman" w:hAnsi="Times New Roman" w:cs="Times New Roman"/>
                <w:lang w:eastAsia="ru-RU"/>
              </w:rPr>
              <w:t>оступления средств от уплаты штрафов, неустоек, пеней, уплаченных в случае просрочки исполнения поставщиком (подрядчиком, исполнителем) обязательств, предусмотренных государственным контрактом, заключенным Фондом, запланированы в сумме 5,9 тыс. руб. Расчет производился на основании усреднения годовых объемов поступлений по данному виду доходов за предшествующие годы.</w:t>
            </w:r>
            <w:proofErr w:type="gramEnd"/>
            <w:r w:rsidRPr="008732CD">
              <w:rPr>
                <w:rFonts w:ascii="Times New Roman" w:eastAsia="Times New Roman" w:hAnsi="Times New Roman" w:cs="Times New Roman"/>
                <w:lang w:eastAsia="ru-RU"/>
              </w:rPr>
              <w:t xml:space="preserve"> Средства направляются на реализацию территориальной программы ОМС в рамках базовой программы ОМС</w:t>
            </w:r>
            <w:r w:rsidR="00C2051F">
              <w:rPr>
                <w:rFonts w:ascii="Times New Roman" w:eastAsia="Times New Roman" w:hAnsi="Times New Roman" w:cs="Times New Roman"/>
                <w:lang w:eastAsia="ru-RU"/>
              </w:rPr>
              <w:t>;</w:t>
            </w:r>
            <w:r w:rsidRPr="008732CD">
              <w:rPr>
                <w:rFonts w:ascii="Times New Roman" w:eastAsia="Times New Roman" w:hAnsi="Times New Roman" w:cs="Times New Roman"/>
                <w:lang w:eastAsia="ru-RU"/>
              </w:rPr>
              <w:br/>
            </w:r>
            <w:proofErr w:type="gramStart"/>
            <w:r w:rsidRPr="008732CD">
              <w:rPr>
                <w:rFonts w:ascii="Times New Roman" w:eastAsia="Times New Roman" w:hAnsi="Times New Roman" w:cs="Times New Roman"/>
                <w:lang w:eastAsia="ru-RU"/>
              </w:rPr>
              <w:t xml:space="preserve">3) </w:t>
            </w:r>
            <w:r w:rsidR="00C2051F">
              <w:rPr>
                <w:rFonts w:ascii="Times New Roman" w:eastAsia="Times New Roman" w:hAnsi="Times New Roman" w:cs="Times New Roman"/>
                <w:lang w:eastAsia="ru-RU"/>
              </w:rPr>
              <w:t>п</w:t>
            </w:r>
            <w:r w:rsidRPr="008732CD">
              <w:rPr>
                <w:rFonts w:ascii="Times New Roman" w:eastAsia="Times New Roman" w:hAnsi="Times New Roman" w:cs="Times New Roman"/>
                <w:lang w:eastAsia="ru-RU"/>
              </w:rPr>
              <w:t>оступления иных штрафов, неустоек, пеней, уплаченных в соответствии с законом или договором в случае неисполнения или ненадлежащего исполнения обязательств перед Фондом запланированы в сумме 3 419,7 тыс. руб., в том числе:</w:t>
            </w:r>
            <w:r w:rsidRPr="008732CD">
              <w:rPr>
                <w:rFonts w:ascii="Times New Roman" w:eastAsia="Times New Roman" w:hAnsi="Times New Roman" w:cs="Times New Roman"/>
                <w:lang w:eastAsia="ru-RU"/>
              </w:rPr>
              <w:br/>
              <w:t>а) поступления средств на формирование НСЗ Фонда для финансового обеспечения мероприятий запланированы в сумме 2 632,1 тыс. руб. Средства формируются в соответствии с частью 6.3 статьи 26 Федерального</w:t>
            </w:r>
            <w:proofErr w:type="gramEnd"/>
            <w:r w:rsidRPr="008732CD">
              <w:rPr>
                <w:rFonts w:ascii="Times New Roman" w:eastAsia="Times New Roman" w:hAnsi="Times New Roman" w:cs="Times New Roman"/>
                <w:lang w:eastAsia="ru-RU"/>
              </w:rPr>
              <w:t xml:space="preserve"> закона №</w:t>
            </w:r>
            <w:r w:rsidR="00C2051F">
              <w:rPr>
                <w:rFonts w:ascii="Times New Roman" w:eastAsia="Times New Roman" w:hAnsi="Times New Roman" w:cs="Times New Roman"/>
                <w:lang w:eastAsia="ru-RU"/>
              </w:rPr>
              <w:t> </w:t>
            </w:r>
            <w:bookmarkStart w:id="0" w:name="_GoBack"/>
            <w:bookmarkEnd w:id="0"/>
            <w:r w:rsidRPr="008732CD">
              <w:rPr>
                <w:rFonts w:ascii="Times New Roman" w:eastAsia="Times New Roman" w:hAnsi="Times New Roman" w:cs="Times New Roman"/>
                <w:lang w:eastAsia="ru-RU"/>
              </w:rPr>
              <w:t>326-ФЗ. Источником формирования средств НСЗ Фонда на финансовое обеспечение мероприятий являются штрафы, применяемые страховыми медицинскими организациями и Фондом к медицинским организациям за нарушения, выявленные при проведении контроля объемов, сроков, качества и условий предоставления медицинской помощи. Расчет осуществлялся на основании усреднения годовых объемов поступлений по данному виду доходов за предшествующие годы;</w:t>
            </w:r>
            <w:r w:rsidRPr="008732CD">
              <w:rPr>
                <w:rFonts w:ascii="Times New Roman" w:eastAsia="Times New Roman" w:hAnsi="Times New Roman" w:cs="Times New Roman"/>
                <w:lang w:eastAsia="ru-RU"/>
              </w:rPr>
              <w:br/>
            </w:r>
            <w:proofErr w:type="gramStart"/>
            <w:r w:rsidRPr="008732CD">
              <w:rPr>
                <w:rFonts w:ascii="Times New Roman" w:eastAsia="Times New Roman" w:hAnsi="Times New Roman" w:cs="Times New Roman"/>
                <w:lang w:eastAsia="ru-RU"/>
              </w:rPr>
              <w:t xml:space="preserve">б) поступления штрафов от страховых медицинских организаций за нарушение обязательств по договорам о финансовом обеспечении ОМС и от медицинских организаций по результатам проведения проверок контрольно-ревизионного отдела Фонда и за нарушение обязательств по договорам на оказание и оплату </w:t>
            </w:r>
            <w:r w:rsidRPr="008732CD">
              <w:rPr>
                <w:rFonts w:ascii="Times New Roman" w:eastAsia="Times New Roman" w:hAnsi="Times New Roman" w:cs="Times New Roman"/>
                <w:lang w:eastAsia="ru-RU"/>
              </w:rPr>
              <w:lastRenderedPageBreak/>
              <w:t>медицинской помощи по ОМС запланированы в размере 787,6 тыс. руб. Расчет производился на основании усреднения годовых объемов поступлений по данному виду доходов за</w:t>
            </w:r>
            <w:proofErr w:type="gramEnd"/>
            <w:r w:rsidRPr="008732CD">
              <w:rPr>
                <w:rFonts w:ascii="Times New Roman" w:eastAsia="Times New Roman" w:hAnsi="Times New Roman" w:cs="Times New Roman"/>
                <w:lang w:eastAsia="ru-RU"/>
              </w:rPr>
              <w:t xml:space="preserve"> предшествующие годы. Средства направляются на реализацию территориальной программы ОМС в рамках базовой программы ОМС.</w:t>
            </w:r>
          </w:p>
        </w:tc>
      </w:tr>
      <w:tr w:rsidR="00E3776F" w:rsidRPr="008732CD" w:rsidTr="00BF2D72">
        <w:tblPrEx>
          <w:tblCellMar>
            <w:left w:w="108" w:type="dxa"/>
            <w:right w:w="108" w:type="dxa"/>
          </w:tblCellMar>
        </w:tblPrEx>
        <w:trPr>
          <w:trHeight w:val="449"/>
        </w:trPr>
        <w:tc>
          <w:tcPr>
            <w:tcW w:w="3549"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lastRenderedPageBreak/>
              <w:t>000 2 00 00000 00 0000 000 Безвозмездные поступления</w:t>
            </w:r>
          </w:p>
        </w:tc>
        <w:tc>
          <w:tcPr>
            <w:tcW w:w="1838" w:type="dxa"/>
            <w:shd w:val="clear" w:color="auto" w:fill="auto"/>
            <w:hideMark/>
          </w:tcPr>
          <w:p w:rsidR="00D96B80" w:rsidRPr="008732CD" w:rsidRDefault="00D96B80" w:rsidP="00EC6028">
            <w:pPr>
              <w:spacing w:after="0" w:line="240" w:lineRule="auto"/>
              <w:ind w:left="-89" w:right="-108" w:firstLine="14"/>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19 062 078 844,27</w:t>
            </w:r>
          </w:p>
        </w:tc>
        <w:tc>
          <w:tcPr>
            <w:tcW w:w="1804" w:type="dxa"/>
            <w:shd w:val="clear" w:color="auto" w:fill="auto"/>
            <w:hideMark/>
          </w:tcPr>
          <w:p w:rsidR="00D96B80" w:rsidRPr="008732CD" w:rsidRDefault="00D96B80" w:rsidP="00EC6028">
            <w:pPr>
              <w:spacing w:after="0" w:line="240" w:lineRule="auto"/>
              <w:ind w:left="-108" w:right="-80"/>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19 076 222 307,29</w:t>
            </w:r>
          </w:p>
        </w:tc>
        <w:tc>
          <w:tcPr>
            <w:tcW w:w="1847" w:type="dxa"/>
            <w:shd w:val="clear" w:color="auto" w:fill="auto"/>
            <w:hideMark/>
          </w:tcPr>
          <w:p w:rsidR="00D96B80" w:rsidRPr="008732CD" w:rsidRDefault="00D96B80" w:rsidP="00EC6028">
            <w:pPr>
              <w:spacing w:after="0" w:line="240" w:lineRule="auto"/>
              <w:ind w:left="-80" w:right="-122"/>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20 906 945 200,00</w:t>
            </w:r>
          </w:p>
        </w:tc>
        <w:tc>
          <w:tcPr>
            <w:tcW w:w="756" w:type="dxa"/>
            <w:shd w:val="clear" w:color="auto" w:fill="auto"/>
            <w:noWrap/>
            <w:hideMark/>
          </w:tcPr>
          <w:p w:rsidR="00D96B80" w:rsidRPr="008732CD" w:rsidRDefault="00D96B80" w:rsidP="00EC6028">
            <w:pPr>
              <w:spacing w:after="0" w:line="240" w:lineRule="auto"/>
              <w:ind w:left="-94" w:right="-80"/>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109,6%</w:t>
            </w:r>
          </w:p>
        </w:tc>
        <w:tc>
          <w:tcPr>
            <w:tcW w:w="6047" w:type="dxa"/>
            <w:gridSpan w:val="2"/>
            <w:shd w:val="clear" w:color="auto" w:fill="auto"/>
            <w:hideMark/>
          </w:tcPr>
          <w:p w:rsidR="00D96B80" w:rsidRPr="008732CD" w:rsidRDefault="00D96B80" w:rsidP="00DA5952">
            <w:pPr>
              <w:spacing w:after="0" w:line="240" w:lineRule="auto"/>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 </w:t>
            </w:r>
          </w:p>
        </w:tc>
      </w:tr>
      <w:tr w:rsidR="00E3776F" w:rsidRPr="008732CD" w:rsidTr="00BF2D72">
        <w:tblPrEx>
          <w:tblCellMar>
            <w:left w:w="108" w:type="dxa"/>
            <w:right w:w="108" w:type="dxa"/>
          </w:tblCellMar>
        </w:tblPrEx>
        <w:trPr>
          <w:trHeight w:val="624"/>
        </w:trPr>
        <w:tc>
          <w:tcPr>
            <w:tcW w:w="3549"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395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c>
          <w:tcPr>
            <w:tcW w:w="1838" w:type="dxa"/>
            <w:shd w:val="clear" w:color="auto" w:fill="auto"/>
            <w:noWrap/>
            <w:hideMark/>
          </w:tcPr>
          <w:p w:rsidR="00D96B80" w:rsidRPr="008732CD" w:rsidRDefault="00D96B80" w:rsidP="00EC6028">
            <w:pPr>
              <w:spacing w:after="0" w:line="240" w:lineRule="auto"/>
              <w:ind w:left="-89" w:right="-108" w:firstLine="14"/>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18 347 674 200,00</w:t>
            </w:r>
          </w:p>
        </w:tc>
        <w:tc>
          <w:tcPr>
            <w:tcW w:w="1804" w:type="dxa"/>
            <w:shd w:val="clear" w:color="auto" w:fill="auto"/>
            <w:noWrap/>
            <w:hideMark/>
          </w:tcPr>
          <w:p w:rsidR="00D96B80" w:rsidRPr="008732CD" w:rsidRDefault="00D96B80" w:rsidP="00EC6028">
            <w:pPr>
              <w:spacing w:after="0" w:line="240" w:lineRule="auto"/>
              <w:ind w:left="-108" w:right="-80"/>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18 347 674 200,00</w:t>
            </w:r>
          </w:p>
        </w:tc>
        <w:tc>
          <w:tcPr>
            <w:tcW w:w="1847" w:type="dxa"/>
            <w:shd w:val="clear" w:color="auto" w:fill="auto"/>
            <w:noWrap/>
            <w:hideMark/>
          </w:tcPr>
          <w:p w:rsidR="00D96B80" w:rsidRPr="008732CD" w:rsidRDefault="00D96B80" w:rsidP="00EC6028">
            <w:pPr>
              <w:spacing w:after="0" w:line="240" w:lineRule="auto"/>
              <w:ind w:left="-80" w:right="-122"/>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20 367 742 300,00</w:t>
            </w:r>
          </w:p>
        </w:tc>
        <w:tc>
          <w:tcPr>
            <w:tcW w:w="756" w:type="dxa"/>
            <w:shd w:val="clear" w:color="auto" w:fill="auto"/>
            <w:noWrap/>
            <w:hideMark/>
          </w:tcPr>
          <w:p w:rsidR="00D96B80" w:rsidRPr="008732CD" w:rsidRDefault="00D96B80" w:rsidP="00EC6028">
            <w:pPr>
              <w:spacing w:after="0" w:line="240" w:lineRule="auto"/>
              <w:ind w:left="-94" w:right="-80"/>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111,0%</w:t>
            </w:r>
          </w:p>
        </w:tc>
        <w:tc>
          <w:tcPr>
            <w:tcW w:w="6047"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 xml:space="preserve">Размер субвенции запланирован в соответствии с объемом расходов бюджета ФОМС, установленным в проекте федерального закона "О бюджете Федерального фонда обязательного медицинского страхования на 2023 год  и на плановый период 2024 и 2025 годов". Сумма субвенции ФОМС рассчитана в соответствии с Постановлением Правительства РФ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8732CD">
              <w:rPr>
                <w:rFonts w:ascii="Times New Roman" w:eastAsia="Times New Roman" w:hAnsi="Times New Roman" w:cs="Times New Roman"/>
                <w:lang w:eastAsia="ru-RU"/>
              </w:rPr>
              <w:t>страхования</w:t>
            </w:r>
            <w:proofErr w:type="gramEnd"/>
            <w:r w:rsidRPr="008732CD">
              <w:rPr>
                <w:rFonts w:ascii="Times New Roman" w:eastAsia="Times New Roman" w:hAnsi="Times New Roman" w:cs="Times New Roman"/>
                <w:lang w:eastAsia="ru-RU"/>
              </w:rPr>
              <w:t xml:space="preserve">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 (далее - Постановление Правительства РФ № 462) и проектом Программы государственных гарантий </w:t>
            </w:r>
            <w:proofErr w:type="gramStart"/>
            <w:r w:rsidRPr="008732CD">
              <w:rPr>
                <w:rFonts w:ascii="Times New Roman" w:eastAsia="Times New Roman" w:hAnsi="Times New Roman" w:cs="Times New Roman"/>
                <w:lang w:eastAsia="ru-RU"/>
              </w:rPr>
              <w:t>бесплатного оказания гражданам медицинской помощи на 2023 год и на плановый период 2024 и 2025 годов (далее – проект Программы государственных гарантий): 15 823,6 руб. (</w:t>
            </w:r>
            <w:proofErr w:type="spellStart"/>
            <w:r w:rsidRPr="008732CD">
              <w:rPr>
                <w:rFonts w:ascii="Times New Roman" w:eastAsia="Times New Roman" w:hAnsi="Times New Roman" w:cs="Times New Roman"/>
                <w:lang w:eastAsia="ru-RU"/>
              </w:rPr>
              <w:t>подушевой</w:t>
            </w:r>
            <w:proofErr w:type="spellEnd"/>
            <w:r w:rsidRPr="008732CD">
              <w:rPr>
                <w:rFonts w:ascii="Times New Roman" w:eastAsia="Times New Roman" w:hAnsi="Times New Roman" w:cs="Times New Roman"/>
                <w:lang w:eastAsia="ru-RU"/>
              </w:rPr>
              <w:t xml:space="preserve"> норматив финансирования на одного застрахованного за счет субвенции ФОМС на 2023 год) х 1 287 175 чел. (численность застрахованного  населения ЯО на 01.01.2022) /1000 = 20 367 742,3 тыс. руб.</w:t>
            </w:r>
            <w:proofErr w:type="gramEnd"/>
          </w:p>
        </w:tc>
      </w:tr>
      <w:tr w:rsidR="00E3776F" w:rsidRPr="008732CD" w:rsidTr="00BF2D72">
        <w:tblPrEx>
          <w:tblCellMar>
            <w:left w:w="108" w:type="dxa"/>
            <w:right w:w="108" w:type="dxa"/>
          </w:tblCellMar>
        </w:tblPrEx>
        <w:trPr>
          <w:trHeight w:val="1379"/>
        </w:trPr>
        <w:tc>
          <w:tcPr>
            <w:tcW w:w="3549"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proofErr w:type="gramStart"/>
            <w:r w:rsidRPr="008732CD">
              <w:rPr>
                <w:rFonts w:ascii="Times New Roman" w:eastAsia="Times New Roman" w:hAnsi="Times New Roman" w:cs="Times New Roman"/>
                <w:lang w:eastAsia="ru-RU"/>
              </w:rPr>
              <w:t xml:space="preserve">395 2 02 55257 09 0000 150 Межбюджетные трансферты, передаваемые бюджетам территориальных фондов обязательного медицинского </w:t>
            </w:r>
            <w:r w:rsidRPr="008732CD">
              <w:rPr>
                <w:rFonts w:ascii="Times New Roman" w:eastAsia="Times New Roman" w:hAnsi="Times New Roman" w:cs="Times New Roman"/>
                <w:lang w:eastAsia="ru-RU"/>
              </w:rPr>
              <w:lastRenderedPageBreak/>
              <w:t>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roofErr w:type="gramEnd"/>
          </w:p>
        </w:tc>
        <w:tc>
          <w:tcPr>
            <w:tcW w:w="1838"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lastRenderedPageBreak/>
              <w:t>113 722 500,00</w:t>
            </w:r>
          </w:p>
        </w:tc>
        <w:tc>
          <w:tcPr>
            <w:tcW w:w="1804"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113 722 500,00</w:t>
            </w:r>
          </w:p>
        </w:tc>
        <w:tc>
          <w:tcPr>
            <w:tcW w:w="1847"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0,00</w:t>
            </w:r>
          </w:p>
        </w:tc>
        <w:tc>
          <w:tcPr>
            <w:tcW w:w="756"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w:t>
            </w:r>
          </w:p>
        </w:tc>
        <w:tc>
          <w:tcPr>
            <w:tcW w:w="6047"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 xml:space="preserve">На 2023 год средства не запланированы  в связи с отсутствием соответствующих бюджетных ассигнований в проекте федерального закона "О бюджете Федерального фонда обязательного медицинского страхования на 2023 год  и на плановый период 2024 и 2025 годов". </w:t>
            </w:r>
          </w:p>
        </w:tc>
      </w:tr>
      <w:tr w:rsidR="00E3776F" w:rsidRPr="008732CD" w:rsidTr="00BF2D72">
        <w:tblPrEx>
          <w:tblCellMar>
            <w:left w:w="108" w:type="dxa"/>
            <w:right w:w="108" w:type="dxa"/>
          </w:tblCellMar>
        </w:tblPrEx>
        <w:trPr>
          <w:trHeight w:val="1054"/>
        </w:trPr>
        <w:tc>
          <w:tcPr>
            <w:tcW w:w="3549"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proofErr w:type="gramStart"/>
            <w:r w:rsidRPr="008732CD">
              <w:rPr>
                <w:rFonts w:ascii="Times New Roman" w:eastAsia="Times New Roman" w:hAnsi="Times New Roman" w:cs="Times New Roman"/>
                <w:lang w:eastAsia="ru-RU"/>
              </w:rPr>
              <w:lastRenderedPageBreak/>
              <w:t>395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roofErr w:type="gramEnd"/>
          </w:p>
        </w:tc>
        <w:tc>
          <w:tcPr>
            <w:tcW w:w="1838"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246 200,00</w:t>
            </w:r>
          </w:p>
        </w:tc>
        <w:tc>
          <w:tcPr>
            <w:tcW w:w="1804"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246 200,00</w:t>
            </w:r>
          </w:p>
        </w:tc>
        <w:tc>
          <w:tcPr>
            <w:tcW w:w="1847"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0,00</w:t>
            </w:r>
          </w:p>
        </w:tc>
        <w:tc>
          <w:tcPr>
            <w:tcW w:w="756"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w:t>
            </w:r>
          </w:p>
        </w:tc>
        <w:tc>
          <w:tcPr>
            <w:tcW w:w="6047"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 xml:space="preserve">На 2023 год средства не запланированы  в связи с отсутствием соответствующих бюджетных ассигнований в проекте федерального закона "О бюджете Федерального фонда обязательного медицинского страхования на 2023 год  и на плановый период 2024 и 2025 годов". </w:t>
            </w:r>
          </w:p>
        </w:tc>
      </w:tr>
      <w:tr w:rsidR="00E3776F" w:rsidRPr="008732CD" w:rsidTr="00BF2D72">
        <w:tblPrEx>
          <w:tblCellMar>
            <w:left w:w="108" w:type="dxa"/>
            <w:right w:w="108" w:type="dxa"/>
          </w:tblCellMar>
        </w:tblPrEx>
        <w:trPr>
          <w:trHeight w:val="765"/>
        </w:trPr>
        <w:tc>
          <w:tcPr>
            <w:tcW w:w="3549"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proofErr w:type="gramStart"/>
            <w:r w:rsidRPr="008732CD">
              <w:rPr>
                <w:rFonts w:ascii="Times New Roman" w:eastAsia="Times New Roman" w:hAnsi="Times New Roman" w:cs="Times New Roman"/>
                <w:lang w:eastAsia="ru-RU"/>
              </w:rPr>
              <w:t xml:space="preserve">395 2 02 55854 09 0000 150 Межбюджетные трансферты, передаваемые бюджетам территориальных фондов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8732CD">
              <w:rPr>
                <w:rFonts w:ascii="Times New Roman" w:eastAsia="Times New Roman" w:hAnsi="Times New Roman" w:cs="Times New Roman"/>
                <w:lang w:eastAsia="ru-RU"/>
              </w:rPr>
              <w:t>коронавирусной</w:t>
            </w:r>
            <w:proofErr w:type="spellEnd"/>
            <w:r w:rsidRPr="008732CD">
              <w:rPr>
                <w:rFonts w:ascii="Times New Roman" w:eastAsia="Times New Roman" w:hAnsi="Times New Roman" w:cs="Times New Roman"/>
                <w:lang w:eastAsia="ru-RU"/>
              </w:rPr>
              <w:t xml:space="preserve"> инфекцией (COVID-19), в рамках реализации </w:t>
            </w:r>
            <w:r w:rsidRPr="008732CD">
              <w:rPr>
                <w:rFonts w:ascii="Times New Roman" w:eastAsia="Times New Roman" w:hAnsi="Times New Roman" w:cs="Times New Roman"/>
                <w:lang w:eastAsia="ru-RU"/>
              </w:rPr>
              <w:lastRenderedPageBreak/>
              <w:t>территориальных программ обязательного медицинского страхования</w:t>
            </w:r>
            <w:proofErr w:type="gramEnd"/>
          </w:p>
        </w:tc>
        <w:tc>
          <w:tcPr>
            <w:tcW w:w="1838"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lastRenderedPageBreak/>
              <w:t>54 465 200,00</w:t>
            </w:r>
          </w:p>
        </w:tc>
        <w:tc>
          <w:tcPr>
            <w:tcW w:w="1804"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54 465 200,00</w:t>
            </w:r>
          </w:p>
        </w:tc>
        <w:tc>
          <w:tcPr>
            <w:tcW w:w="1847"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0,00</w:t>
            </w:r>
          </w:p>
        </w:tc>
        <w:tc>
          <w:tcPr>
            <w:tcW w:w="756"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w:t>
            </w:r>
          </w:p>
        </w:tc>
        <w:tc>
          <w:tcPr>
            <w:tcW w:w="6047"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 xml:space="preserve">Распределение иных межбюджетных трансфертов за счет средств резервного фонда Правительства РФ на 2023 год не утверждено. </w:t>
            </w:r>
          </w:p>
        </w:tc>
      </w:tr>
      <w:tr w:rsidR="00E3776F" w:rsidRPr="008732CD" w:rsidTr="00BF2D72">
        <w:tblPrEx>
          <w:tblCellMar>
            <w:left w:w="108" w:type="dxa"/>
            <w:right w:w="108" w:type="dxa"/>
          </w:tblCellMar>
        </w:tblPrEx>
        <w:trPr>
          <w:trHeight w:val="482"/>
        </w:trPr>
        <w:tc>
          <w:tcPr>
            <w:tcW w:w="3549"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proofErr w:type="gramStart"/>
            <w:r w:rsidRPr="008732CD">
              <w:rPr>
                <w:rFonts w:ascii="Times New Roman" w:eastAsia="Times New Roman" w:hAnsi="Times New Roman" w:cs="Times New Roman"/>
                <w:lang w:eastAsia="ru-RU"/>
              </w:rPr>
              <w:lastRenderedPageBreak/>
              <w:t xml:space="preserve">395 2 02 58501 09 0000 150 Межбюджетные трансферты, передаваемые бюджетам территориальных фондов обязательного медицинского страхования субъектов Российской Федерации и г. Байконура на дополнительное финансовое обеспечение медицинской помощи, оказанной лицам, застрахованным по обязательному медицинскому страхованию, в том числе с заболеванием и (или) подозрением на заболевание новой </w:t>
            </w:r>
            <w:proofErr w:type="spellStart"/>
            <w:r w:rsidRPr="008732CD">
              <w:rPr>
                <w:rFonts w:ascii="Times New Roman" w:eastAsia="Times New Roman" w:hAnsi="Times New Roman" w:cs="Times New Roman"/>
                <w:lang w:eastAsia="ru-RU"/>
              </w:rPr>
              <w:t>коронавирусной</w:t>
            </w:r>
            <w:proofErr w:type="spellEnd"/>
            <w:r w:rsidRPr="008732CD">
              <w:rPr>
                <w:rFonts w:ascii="Times New Roman" w:eastAsia="Times New Roman" w:hAnsi="Times New Roman" w:cs="Times New Roman"/>
                <w:lang w:eastAsia="ru-RU"/>
              </w:rPr>
              <w:t xml:space="preserve"> инфекцией (COVID-19), в рамках реализации территориальных программ обязательного медицинского страхования в 2021-2022 годах</w:t>
            </w:r>
            <w:proofErr w:type="gramEnd"/>
          </w:p>
        </w:tc>
        <w:tc>
          <w:tcPr>
            <w:tcW w:w="1838"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128 132 000,00</w:t>
            </w:r>
          </w:p>
        </w:tc>
        <w:tc>
          <w:tcPr>
            <w:tcW w:w="1804"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128 132 000,00</w:t>
            </w:r>
          </w:p>
        </w:tc>
        <w:tc>
          <w:tcPr>
            <w:tcW w:w="1847"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0,00</w:t>
            </w:r>
          </w:p>
        </w:tc>
        <w:tc>
          <w:tcPr>
            <w:tcW w:w="756"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w:t>
            </w:r>
          </w:p>
        </w:tc>
        <w:tc>
          <w:tcPr>
            <w:tcW w:w="6047"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 xml:space="preserve">На 2023 год средства не запланированы  в связи с отсутствием соответствующих бюджетных ассигнований в проекте федерального закона "О бюджете Федерального фонда обязательного медицинского страхования на 2023 год  и на плановый период 2024 и 2025 годов". </w:t>
            </w:r>
          </w:p>
        </w:tc>
      </w:tr>
      <w:tr w:rsidR="00E3776F" w:rsidRPr="008732CD" w:rsidTr="00BF2D72">
        <w:tblPrEx>
          <w:tblCellMar>
            <w:left w:w="108" w:type="dxa"/>
            <w:right w:w="108" w:type="dxa"/>
          </w:tblCellMar>
        </w:tblPrEx>
        <w:trPr>
          <w:trHeight w:val="1663"/>
        </w:trPr>
        <w:tc>
          <w:tcPr>
            <w:tcW w:w="3549"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395 2 02 59999 09 0000 150</w:t>
            </w:r>
            <w:proofErr w:type="gramStart"/>
            <w:r w:rsidRPr="008732CD">
              <w:rPr>
                <w:rFonts w:ascii="Times New Roman" w:eastAsia="Times New Roman" w:hAnsi="Times New Roman" w:cs="Times New Roman"/>
                <w:lang w:eastAsia="ru-RU"/>
              </w:rPr>
              <w:t xml:space="preserve"> П</w:t>
            </w:r>
            <w:proofErr w:type="gramEnd"/>
            <w:r w:rsidRPr="008732CD">
              <w:rPr>
                <w:rFonts w:ascii="Times New Roman" w:eastAsia="Times New Roman" w:hAnsi="Times New Roman" w:cs="Times New Roman"/>
                <w:lang w:eastAsia="ru-RU"/>
              </w:rPr>
              <w:t>рочие межбюджетные трансферты, передаваемые бюджетам территориальных фондов обязательного медицинского страхования</w:t>
            </w:r>
          </w:p>
        </w:tc>
        <w:tc>
          <w:tcPr>
            <w:tcW w:w="1838"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651 970 470,69</w:t>
            </w:r>
          </w:p>
        </w:tc>
        <w:tc>
          <w:tcPr>
            <w:tcW w:w="1804"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669 384 301,60</w:t>
            </w:r>
          </w:p>
        </w:tc>
        <w:tc>
          <w:tcPr>
            <w:tcW w:w="1847"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539 202 900,00</w:t>
            </w:r>
          </w:p>
        </w:tc>
        <w:tc>
          <w:tcPr>
            <w:tcW w:w="756" w:type="dxa"/>
            <w:shd w:val="clear" w:color="auto" w:fill="auto"/>
            <w:noWrap/>
            <w:hideMark/>
          </w:tcPr>
          <w:p w:rsidR="00D96B80" w:rsidRPr="008732CD" w:rsidRDefault="00D96B80" w:rsidP="00BF2D72">
            <w:pPr>
              <w:spacing w:after="0" w:line="240" w:lineRule="auto"/>
              <w:ind w:left="-82" w:right="-78"/>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80,6%</w:t>
            </w:r>
          </w:p>
        </w:tc>
        <w:tc>
          <w:tcPr>
            <w:tcW w:w="6047"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Расчет осуществлялся на основании усреднения годовых объемов поступлений по данному виду доходов за предшествующие годы.</w:t>
            </w:r>
          </w:p>
        </w:tc>
      </w:tr>
      <w:tr w:rsidR="00E3776F" w:rsidRPr="008732CD" w:rsidTr="00BF2D72">
        <w:tblPrEx>
          <w:tblCellMar>
            <w:left w:w="108" w:type="dxa"/>
            <w:right w:w="108" w:type="dxa"/>
          </w:tblCellMar>
        </w:tblPrEx>
        <w:trPr>
          <w:trHeight w:val="482"/>
        </w:trPr>
        <w:tc>
          <w:tcPr>
            <w:tcW w:w="3549"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000 2 18 00000 09 0000 150 Доходы бюджетов территориальных фондов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c>
          <w:tcPr>
            <w:tcW w:w="1838"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506 969,93</w:t>
            </w:r>
          </w:p>
        </w:tc>
        <w:tc>
          <w:tcPr>
            <w:tcW w:w="1804"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630 949,89</w:t>
            </w:r>
          </w:p>
        </w:tc>
        <w:tc>
          <w:tcPr>
            <w:tcW w:w="1847"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0,00</w:t>
            </w:r>
          </w:p>
        </w:tc>
        <w:tc>
          <w:tcPr>
            <w:tcW w:w="756"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w:t>
            </w:r>
          </w:p>
        </w:tc>
        <w:tc>
          <w:tcPr>
            <w:tcW w:w="6047"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Средства отражаются по факту поступления (возвраты единовременных выплат медицинским работникам в связи с прекращением трудового договора до истечения пятилетнего срока; возврат средств от других территориальных фондов ОМС в рамках осуществления межтерриториальных расчетов).</w:t>
            </w:r>
          </w:p>
        </w:tc>
      </w:tr>
      <w:tr w:rsidR="00E3776F" w:rsidRPr="008732CD" w:rsidTr="00BF2D72">
        <w:tblPrEx>
          <w:tblCellMar>
            <w:left w:w="108" w:type="dxa"/>
            <w:right w:w="108" w:type="dxa"/>
          </w:tblCellMar>
        </w:tblPrEx>
        <w:trPr>
          <w:trHeight w:val="245"/>
        </w:trPr>
        <w:tc>
          <w:tcPr>
            <w:tcW w:w="3549"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lastRenderedPageBreak/>
              <w:t>000 2 19 00000 09 0000 150 Возврат остатков субсидий, субвенций и иных межбюджетных трансфертов, имеющих целевое назначение, прошлых лет из бюджетов территориальных фондов обязательного медицинского страхования</w:t>
            </w:r>
          </w:p>
        </w:tc>
        <w:tc>
          <w:tcPr>
            <w:tcW w:w="1838" w:type="dxa"/>
            <w:shd w:val="clear" w:color="auto" w:fill="auto"/>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-234 638 696,35</w:t>
            </w:r>
          </w:p>
        </w:tc>
        <w:tc>
          <w:tcPr>
            <w:tcW w:w="1804" w:type="dxa"/>
            <w:shd w:val="clear" w:color="auto" w:fill="auto"/>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-238 033 044,20</w:t>
            </w:r>
          </w:p>
        </w:tc>
        <w:tc>
          <w:tcPr>
            <w:tcW w:w="1847" w:type="dxa"/>
            <w:shd w:val="clear" w:color="auto" w:fill="auto"/>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0,00</w:t>
            </w:r>
          </w:p>
        </w:tc>
        <w:tc>
          <w:tcPr>
            <w:tcW w:w="756" w:type="dxa"/>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0,0%</w:t>
            </w:r>
          </w:p>
        </w:tc>
        <w:tc>
          <w:tcPr>
            <w:tcW w:w="6047" w:type="dxa"/>
            <w:gridSpan w:val="2"/>
            <w:shd w:val="clear" w:color="auto" w:fill="auto"/>
            <w:hideMark/>
          </w:tcPr>
          <w:p w:rsidR="00D96B80" w:rsidRPr="008732CD" w:rsidRDefault="00D96B80" w:rsidP="00DA5952">
            <w:pPr>
              <w:spacing w:after="0" w:line="240" w:lineRule="auto"/>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 xml:space="preserve">Средства отражаются по факту возврата в бюджет ФОМС, областной бюджет и бюджеты других территориальных фондов ОМС (возврат остатка средств на </w:t>
            </w:r>
            <w:proofErr w:type="spellStart"/>
            <w:r w:rsidRPr="008732CD">
              <w:rPr>
                <w:rFonts w:ascii="Times New Roman" w:eastAsia="Times New Roman" w:hAnsi="Times New Roman" w:cs="Times New Roman"/>
                <w:lang w:eastAsia="ru-RU"/>
              </w:rPr>
              <w:t>софинансирование</w:t>
            </w:r>
            <w:proofErr w:type="spellEnd"/>
            <w:r w:rsidRPr="008732CD">
              <w:rPr>
                <w:rFonts w:ascii="Times New Roman" w:eastAsia="Times New Roman" w:hAnsi="Times New Roman" w:cs="Times New Roman"/>
                <w:lang w:eastAsia="ru-RU"/>
              </w:rPr>
              <w:t xml:space="preserve"> расходов медицинских организаций на оплату труда врачей и среднего медицинского персонала, не использованных по состоянию на 01.01.2022; возврат остатка средств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не использованных по состоянию на 01.01.2022; возврат остатка средств на 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sidRPr="008732CD">
              <w:rPr>
                <w:rFonts w:ascii="Times New Roman" w:eastAsia="Times New Roman" w:hAnsi="Times New Roman" w:cs="Times New Roman"/>
                <w:lang w:eastAsia="ru-RU"/>
              </w:rPr>
              <w:t>коронавирусную</w:t>
            </w:r>
            <w:proofErr w:type="spellEnd"/>
            <w:r w:rsidRPr="008732CD">
              <w:rPr>
                <w:rFonts w:ascii="Times New Roman" w:eastAsia="Times New Roman" w:hAnsi="Times New Roman" w:cs="Times New Roman"/>
                <w:lang w:eastAsia="ru-RU"/>
              </w:rPr>
              <w:t xml:space="preserve"> инфекцию (COVID-19), в рамках реализации территориальной программы обязательного медицинского страхования, не использованных по состоянию на 01.01.2022; возврат единовременных выплат медицинским работникам в связи с прекращением трудового договора до истечения пятилетнего срока; возврат средств от других территориальных фондов ОМС в рамках осуществления межтерриториальных расчетов; возврат средств, полученных в результате проведения </w:t>
            </w:r>
            <w:proofErr w:type="spellStart"/>
            <w:r w:rsidRPr="008732CD">
              <w:rPr>
                <w:rFonts w:ascii="Times New Roman" w:eastAsia="Times New Roman" w:hAnsi="Times New Roman" w:cs="Times New Roman"/>
                <w:lang w:eastAsia="ru-RU"/>
              </w:rPr>
              <w:t>реэкспертиз</w:t>
            </w:r>
            <w:proofErr w:type="spellEnd"/>
            <w:r w:rsidRPr="008732CD">
              <w:rPr>
                <w:rFonts w:ascii="Times New Roman" w:eastAsia="Times New Roman" w:hAnsi="Times New Roman" w:cs="Times New Roman"/>
                <w:lang w:eastAsia="ru-RU"/>
              </w:rPr>
              <w:t>, экспертиз качества медицинской помощи, источником финансового обеспечения которой являлась субвенция ФОМС прошлых лет; возврат средств, использованных медицинскими организациями не по целевому назначению и т.д.).</w:t>
            </w:r>
          </w:p>
        </w:tc>
      </w:tr>
      <w:tr w:rsidR="00E3776F" w:rsidRPr="008732CD" w:rsidTr="00BF2D72">
        <w:tblPrEx>
          <w:tblCellMar>
            <w:left w:w="108" w:type="dxa"/>
            <w:right w:w="108" w:type="dxa"/>
          </w:tblCellMar>
        </w:tblPrEx>
        <w:trPr>
          <w:trHeight w:val="375"/>
        </w:trPr>
        <w:tc>
          <w:tcPr>
            <w:tcW w:w="3549" w:type="dxa"/>
            <w:gridSpan w:val="2"/>
            <w:shd w:val="clear" w:color="auto" w:fill="auto"/>
            <w:noWrap/>
            <w:vAlign w:val="center"/>
            <w:hideMark/>
          </w:tcPr>
          <w:p w:rsidR="00D96B80" w:rsidRPr="008732CD" w:rsidRDefault="00D96B80" w:rsidP="00DA5952">
            <w:pPr>
              <w:spacing w:after="0" w:line="240" w:lineRule="auto"/>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ВСЕГО ДОХОДОВ</w:t>
            </w:r>
          </w:p>
        </w:tc>
        <w:tc>
          <w:tcPr>
            <w:tcW w:w="1838" w:type="dxa"/>
            <w:shd w:val="clear" w:color="auto" w:fill="auto"/>
            <w:noWrap/>
            <w:hideMark/>
          </w:tcPr>
          <w:p w:rsidR="00D96B80" w:rsidRPr="008732CD" w:rsidRDefault="00D96B80" w:rsidP="008732CD">
            <w:pPr>
              <w:spacing w:after="0" w:line="240" w:lineRule="auto"/>
              <w:ind w:left="-89" w:right="-94" w:firstLine="14"/>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19 126 735 999,45</w:t>
            </w:r>
          </w:p>
        </w:tc>
        <w:tc>
          <w:tcPr>
            <w:tcW w:w="1804" w:type="dxa"/>
            <w:shd w:val="clear" w:color="auto" w:fill="auto"/>
            <w:noWrap/>
            <w:hideMark/>
          </w:tcPr>
          <w:p w:rsidR="00D96B80" w:rsidRPr="008732CD" w:rsidRDefault="00D96B80" w:rsidP="008732CD">
            <w:pPr>
              <w:spacing w:after="0" w:line="240" w:lineRule="auto"/>
              <w:ind w:left="-66" w:right="-80"/>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19 177 196 555,79</w:t>
            </w:r>
          </w:p>
        </w:tc>
        <w:tc>
          <w:tcPr>
            <w:tcW w:w="1847" w:type="dxa"/>
            <w:shd w:val="clear" w:color="auto" w:fill="auto"/>
            <w:noWrap/>
            <w:hideMark/>
          </w:tcPr>
          <w:p w:rsidR="00D96B80" w:rsidRPr="008732CD" w:rsidRDefault="00D96B80" w:rsidP="008732CD">
            <w:pPr>
              <w:spacing w:after="0" w:line="240" w:lineRule="auto"/>
              <w:ind w:left="-108" w:right="-80"/>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20 988 568 200,00</w:t>
            </w:r>
          </w:p>
        </w:tc>
        <w:tc>
          <w:tcPr>
            <w:tcW w:w="756" w:type="dxa"/>
            <w:shd w:val="clear" w:color="auto" w:fill="auto"/>
            <w:noWrap/>
            <w:hideMark/>
          </w:tcPr>
          <w:p w:rsidR="00D96B80" w:rsidRPr="008732CD" w:rsidRDefault="00D96B80" w:rsidP="008732CD">
            <w:pPr>
              <w:spacing w:after="0" w:line="240" w:lineRule="auto"/>
              <w:ind w:right="-80" w:hanging="94"/>
              <w:jc w:val="center"/>
              <w:rPr>
                <w:rFonts w:ascii="Times New Roman" w:eastAsia="Times New Roman" w:hAnsi="Times New Roman" w:cs="Times New Roman"/>
                <w:lang w:eastAsia="ru-RU"/>
              </w:rPr>
            </w:pPr>
            <w:r w:rsidRPr="008732CD">
              <w:rPr>
                <w:rFonts w:ascii="Times New Roman" w:eastAsia="Times New Roman" w:hAnsi="Times New Roman" w:cs="Times New Roman"/>
                <w:lang w:eastAsia="ru-RU"/>
              </w:rPr>
              <w:t>109,4%</w:t>
            </w:r>
          </w:p>
        </w:tc>
        <w:tc>
          <w:tcPr>
            <w:tcW w:w="6047" w:type="dxa"/>
            <w:gridSpan w:val="2"/>
            <w:shd w:val="clear" w:color="auto" w:fill="auto"/>
            <w:noWrap/>
            <w:hideMark/>
          </w:tcPr>
          <w:p w:rsidR="00D96B80" w:rsidRPr="008732CD" w:rsidRDefault="00D96B80" w:rsidP="00DA5952">
            <w:pPr>
              <w:spacing w:after="0" w:line="240" w:lineRule="auto"/>
              <w:jc w:val="center"/>
              <w:rPr>
                <w:rFonts w:ascii="Times New Roman" w:eastAsia="Times New Roman" w:hAnsi="Times New Roman" w:cs="Times New Roman"/>
                <w:b/>
                <w:bCs/>
                <w:lang w:eastAsia="ru-RU"/>
              </w:rPr>
            </w:pPr>
            <w:r w:rsidRPr="008732CD">
              <w:rPr>
                <w:rFonts w:ascii="Times New Roman" w:eastAsia="Times New Roman" w:hAnsi="Times New Roman" w:cs="Times New Roman"/>
                <w:b/>
                <w:bCs/>
                <w:lang w:eastAsia="ru-RU"/>
              </w:rPr>
              <w:t> </w:t>
            </w:r>
          </w:p>
        </w:tc>
      </w:tr>
    </w:tbl>
    <w:p w:rsidR="00DA5952" w:rsidRPr="008732CD" w:rsidRDefault="00DA5952"/>
    <w:sectPr w:rsidR="00DA5952" w:rsidRPr="008732CD" w:rsidSect="00BF2D72">
      <w:headerReference w:type="default" r:id="rId8"/>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CC6" w:rsidRDefault="00E31CC6" w:rsidP="00D03C19">
      <w:pPr>
        <w:spacing w:after="0" w:line="240" w:lineRule="auto"/>
      </w:pPr>
      <w:r>
        <w:separator/>
      </w:r>
    </w:p>
  </w:endnote>
  <w:endnote w:type="continuationSeparator" w:id="0">
    <w:p w:rsidR="00E31CC6" w:rsidRDefault="00E31CC6" w:rsidP="00D03C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CC6" w:rsidRDefault="00E31CC6" w:rsidP="00D03C19">
      <w:pPr>
        <w:spacing w:after="0" w:line="240" w:lineRule="auto"/>
      </w:pPr>
      <w:r>
        <w:separator/>
      </w:r>
    </w:p>
  </w:footnote>
  <w:footnote w:type="continuationSeparator" w:id="0">
    <w:p w:rsidR="00E31CC6" w:rsidRDefault="00E31CC6" w:rsidP="00D03C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481626"/>
      <w:docPartObj>
        <w:docPartGallery w:val="Page Numbers (Top of Page)"/>
        <w:docPartUnique/>
      </w:docPartObj>
    </w:sdtPr>
    <w:sdtEndPr>
      <w:rPr>
        <w:rFonts w:ascii="Times New Roman" w:hAnsi="Times New Roman" w:cs="Times New Roman"/>
        <w:sz w:val="24"/>
        <w:szCs w:val="24"/>
      </w:rPr>
    </w:sdtEndPr>
    <w:sdtContent>
      <w:p w:rsidR="00D03C19" w:rsidRPr="00D03C19" w:rsidRDefault="00D03C19">
        <w:pPr>
          <w:pStyle w:val="a3"/>
          <w:jc w:val="center"/>
          <w:rPr>
            <w:rFonts w:ascii="Times New Roman" w:hAnsi="Times New Roman" w:cs="Times New Roman"/>
            <w:sz w:val="24"/>
            <w:szCs w:val="24"/>
          </w:rPr>
        </w:pPr>
        <w:r w:rsidRPr="00D03C19">
          <w:rPr>
            <w:rFonts w:ascii="Times New Roman" w:hAnsi="Times New Roman" w:cs="Times New Roman"/>
            <w:sz w:val="24"/>
            <w:szCs w:val="24"/>
          </w:rPr>
          <w:fldChar w:fldCharType="begin"/>
        </w:r>
        <w:r w:rsidRPr="00D03C19">
          <w:rPr>
            <w:rFonts w:ascii="Times New Roman" w:hAnsi="Times New Roman" w:cs="Times New Roman"/>
            <w:sz w:val="24"/>
            <w:szCs w:val="24"/>
          </w:rPr>
          <w:instrText>PAGE   \* MERGEFORMAT</w:instrText>
        </w:r>
        <w:r w:rsidRPr="00D03C19">
          <w:rPr>
            <w:rFonts w:ascii="Times New Roman" w:hAnsi="Times New Roman" w:cs="Times New Roman"/>
            <w:sz w:val="24"/>
            <w:szCs w:val="24"/>
          </w:rPr>
          <w:fldChar w:fldCharType="separate"/>
        </w:r>
        <w:r w:rsidR="00C2051F">
          <w:rPr>
            <w:rFonts w:ascii="Times New Roman" w:hAnsi="Times New Roman" w:cs="Times New Roman"/>
            <w:noProof/>
            <w:sz w:val="24"/>
            <w:szCs w:val="24"/>
          </w:rPr>
          <w:t>6</w:t>
        </w:r>
        <w:r w:rsidRPr="00D03C19">
          <w:rPr>
            <w:rFonts w:ascii="Times New Roman" w:hAnsi="Times New Roman" w:cs="Times New Roman"/>
            <w:sz w:val="24"/>
            <w:szCs w:val="24"/>
          </w:rPr>
          <w:fldChar w:fldCharType="end"/>
        </w:r>
      </w:p>
    </w:sdtContent>
  </w:sdt>
  <w:p w:rsidR="00D03C19" w:rsidRDefault="00D03C1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952"/>
    <w:rsid w:val="0032503B"/>
    <w:rsid w:val="004B7B3B"/>
    <w:rsid w:val="004F32D1"/>
    <w:rsid w:val="00597E3D"/>
    <w:rsid w:val="007C377A"/>
    <w:rsid w:val="00817E68"/>
    <w:rsid w:val="008732CD"/>
    <w:rsid w:val="00915927"/>
    <w:rsid w:val="009C332B"/>
    <w:rsid w:val="00BF2D72"/>
    <w:rsid w:val="00C2051F"/>
    <w:rsid w:val="00D03C19"/>
    <w:rsid w:val="00D109B0"/>
    <w:rsid w:val="00D96B80"/>
    <w:rsid w:val="00DA5952"/>
    <w:rsid w:val="00E31CC6"/>
    <w:rsid w:val="00E3776F"/>
    <w:rsid w:val="00EC6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03C19"/>
  </w:style>
  <w:style w:type="paragraph" w:styleId="a5">
    <w:name w:val="footer"/>
    <w:basedOn w:val="a"/>
    <w:link w:val="a6"/>
    <w:uiPriority w:val="99"/>
    <w:unhideWhenUsed/>
    <w:rsid w:val="00D03C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03C19"/>
  </w:style>
  <w:style w:type="paragraph" w:styleId="a7">
    <w:name w:val="Balloon Text"/>
    <w:basedOn w:val="a"/>
    <w:link w:val="a8"/>
    <w:uiPriority w:val="99"/>
    <w:semiHidden/>
    <w:unhideWhenUsed/>
    <w:rsid w:val="007C377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C37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03C19"/>
  </w:style>
  <w:style w:type="paragraph" w:styleId="a5">
    <w:name w:val="footer"/>
    <w:basedOn w:val="a"/>
    <w:link w:val="a6"/>
    <w:uiPriority w:val="99"/>
    <w:unhideWhenUsed/>
    <w:rsid w:val="00D03C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03C19"/>
  </w:style>
  <w:style w:type="paragraph" w:styleId="a7">
    <w:name w:val="Balloon Text"/>
    <w:basedOn w:val="a"/>
    <w:link w:val="a8"/>
    <w:uiPriority w:val="99"/>
    <w:semiHidden/>
    <w:unhideWhenUsed/>
    <w:rsid w:val="007C377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C37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68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F0B78-11DE-446C-A4D9-F06EE9C82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6</Pages>
  <Words>1576</Words>
  <Characters>8985</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 Овсянникова</dc:creator>
  <cp:lastModifiedBy>Травников Сергей Викторович</cp:lastModifiedBy>
  <cp:revision>13</cp:revision>
  <cp:lastPrinted>2022-10-24T12:33:00Z</cp:lastPrinted>
  <dcterms:created xsi:type="dcterms:W3CDTF">2022-10-24T10:09:00Z</dcterms:created>
  <dcterms:modified xsi:type="dcterms:W3CDTF">2022-10-25T09:22:00Z</dcterms:modified>
</cp:coreProperties>
</file>