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78D" w:rsidRDefault="003E178D" w:rsidP="003E178D">
      <w:pPr>
        <w:pStyle w:val="ConsPlusNormal"/>
        <w:ind w:left="6237"/>
        <w:contextualSpacing/>
        <w:rPr>
          <w:rFonts w:ascii="Times New Roman" w:hAnsi="Times New Roman" w:cs="Times New Roman"/>
          <w:sz w:val="28"/>
          <w:szCs w:val="28"/>
        </w:rPr>
      </w:pPr>
      <w:bookmarkStart w:id="0" w:name="_GoBack"/>
      <w:bookmarkEnd w:id="0"/>
      <w:r w:rsidRPr="00C52228">
        <w:rPr>
          <w:rFonts w:ascii="Times New Roman" w:hAnsi="Times New Roman" w:cs="Times New Roman"/>
          <w:sz w:val="28"/>
          <w:szCs w:val="28"/>
        </w:rPr>
        <w:t>Утвержден</w:t>
      </w:r>
      <w:r>
        <w:rPr>
          <w:rFonts w:ascii="Times New Roman" w:hAnsi="Times New Roman" w:cs="Times New Roman"/>
          <w:sz w:val="28"/>
          <w:szCs w:val="28"/>
        </w:rPr>
        <w:t>ы</w:t>
      </w:r>
      <w:r w:rsidRPr="008E19D7">
        <w:rPr>
          <w:rFonts w:ascii="Times New Roman" w:hAnsi="Times New Roman" w:cs="Times New Roman"/>
          <w:sz w:val="28"/>
          <w:szCs w:val="28"/>
        </w:rPr>
        <w:t xml:space="preserve"> </w:t>
      </w:r>
    </w:p>
    <w:p w:rsidR="003E178D" w:rsidRPr="008E19D7" w:rsidRDefault="003E178D" w:rsidP="003E178D">
      <w:pPr>
        <w:pStyle w:val="ConsPlusNormal"/>
        <w:ind w:left="6237"/>
        <w:contextualSpacing/>
        <w:rPr>
          <w:rFonts w:ascii="Times New Roman" w:hAnsi="Times New Roman" w:cs="Times New Roman"/>
          <w:sz w:val="28"/>
          <w:szCs w:val="28"/>
        </w:rPr>
      </w:pPr>
      <w:r w:rsidRPr="008E19D7">
        <w:rPr>
          <w:rFonts w:ascii="Times New Roman" w:hAnsi="Times New Roman" w:cs="Times New Roman"/>
          <w:sz w:val="28"/>
          <w:szCs w:val="28"/>
        </w:rPr>
        <w:t>Закон</w:t>
      </w:r>
      <w:r>
        <w:rPr>
          <w:rFonts w:ascii="Times New Roman" w:hAnsi="Times New Roman" w:cs="Times New Roman"/>
          <w:sz w:val="28"/>
          <w:szCs w:val="28"/>
        </w:rPr>
        <w:t>ом</w:t>
      </w:r>
    </w:p>
    <w:p w:rsidR="003E178D" w:rsidRPr="008E19D7" w:rsidRDefault="003E178D" w:rsidP="003E178D">
      <w:pPr>
        <w:pStyle w:val="ConsPlusNormal"/>
        <w:ind w:left="6237"/>
        <w:contextualSpacing/>
        <w:rPr>
          <w:rFonts w:ascii="Times New Roman" w:hAnsi="Times New Roman" w:cs="Times New Roman"/>
          <w:sz w:val="28"/>
          <w:szCs w:val="28"/>
        </w:rPr>
      </w:pPr>
      <w:r w:rsidRPr="008E19D7">
        <w:rPr>
          <w:rFonts w:ascii="Times New Roman" w:hAnsi="Times New Roman" w:cs="Times New Roman"/>
          <w:sz w:val="28"/>
          <w:szCs w:val="28"/>
        </w:rPr>
        <w:t>Ярославской области</w:t>
      </w:r>
    </w:p>
    <w:p w:rsidR="003E178D" w:rsidRDefault="003E178D" w:rsidP="003E178D">
      <w:pPr>
        <w:pStyle w:val="ConsPlusNormal"/>
        <w:ind w:left="6237"/>
        <w:contextualSpacing/>
        <w:rPr>
          <w:rFonts w:ascii="Times New Roman" w:hAnsi="Times New Roman" w:cs="Times New Roman"/>
          <w:sz w:val="28"/>
          <w:szCs w:val="28"/>
        </w:rPr>
      </w:pPr>
      <w:r w:rsidRPr="008E19D7">
        <w:rPr>
          <w:rFonts w:ascii="Times New Roman" w:hAnsi="Times New Roman" w:cs="Times New Roman"/>
          <w:sz w:val="28"/>
          <w:szCs w:val="28"/>
        </w:rPr>
        <w:t xml:space="preserve">от 07.10.2008 </w:t>
      </w:r>
      <w:r>
        <w:rPr>
          <w:rFonts w:ascii="Times New Roman" w:hAnsi="Times New Roman" w:cs="Times New Roman"/>
          <w:sz w:val="28"/>
          <w:szCs w:val="28"/>
        </w:rPr>
        <w:t>№</w:t>
      </w:r>
      <w:r w:rsidRPr="008E19D7">
        <w:rPr>
          <w:rFonts w:ascii="Times New Roman" w:hAnsi="Times New Roman" w:cs="Times New Roman"/>
          <w:sz w:val="28"/>
          <w:szCs w:val="28"/>
        </w:rPr>
        <w:t xml:space="preserve"> 40-з</w:t>
      </w:r>
    </w:p>
    <w:p w:rsidR="00DF257C" w:rsidRPr="006D62D7" w:rsidRDefault="00DF257C" w:rsidP="006D62D7">
      <w:pPr>
        <w:spacing w:after="0"/>
        <w:rPr>
          <w:rFonts w:ascii="Times New Roman" w:hAnsi="Times New Roman" w:cs="Times New Roman"/>
          <w:sz w:val="28"/>
          <w:szCs w:val="28"/>
        </w:rPr>
      </w:pPr>
    </w:p>
    <w:p w:rsidR="003E178D" w:rsidRPr="00990B24" w:rsidRDefault="003E178D" w:rsidP="003E178D">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ПОРЯДОК И МЕТОДИКА</w:t>
      </w:r>
    </w:p>
    <w:p w:rsidR="003E178D" w:rsidRPr="00990B24" w:rsidRDefault="003E178D" w:rsidP="003E178D">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ОПРЕДЕЛЕНИЯ ОБЪЕМА И РАСПРЕДЕЛЕНИЯ ДОТАЦИЙ НА ВЫРАВНИВАНИЕ БЮДЖЕТНОЙ ОБЕСПЕЧЕННОСТИ МУНИЦИПАЛЬНЫХ РАЙОНОВ (ГОРОДСКИХ</w:t>
      </w:r>
    </w:p>
    <w:p w:rsidR="003E178D" w:rsidRPr="00990B24" w:rsidRDefault="003E178D" w:rsidP="003E178D">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ОКРУГОВ) ЯРОСЛАВСКОЙ ОБЛАСТИ ИЗ ОБЛАСТНОГО БЮДЖЕТА, В ТОМ ЧИСЛЕ ПОРЯДОК РАСЧЕТА И УСТАНОВЛЕНИЯ ПОЛНОСТЬЮ ИЛИ ЧАСТИЧНО</w:t>
      </w:r>
    </w:p>
    <w:p w:rsidR="003E178D" w:rsidRPr="00990B24" w:rsidRDefault="003E178D" w:rsidP="003E178D">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ЗАМЕНЯЮЩИХ УКАЗАННЫЕ ДОТАЦИИ ДОПОЛНИТЕЛЬНЫХ НОРМАТИВОВ ОТЧИСЛЕНИЙ ОТ НАЛОГА НА ДОХОДЫ ФИЗИЧЕСКИХ ЛИЦ В БЮДЖЕТЫ МУНИЦИПАЛЬНЫХ РАЙОНОВ (ГОРОДСКИХ ОКРУГОВ) ЯРОСЛАВСКОЙ ОБЛАСТИ, А ТАКЖЕ ПОРЯДОК ОПРЕДЕЛЕНИЯ КРИТЕРИЯ ВЫРАВНИВАНИЯ</w:t>
      </w:r>
    </w:p>
    <w:p w:rsidR="003E178D" w:rsidRPr="00990B24" w:rsidRDefault="003E178D" w:rsidP="003E178D">
      <w:pPr>
        <w:pStyle w:val="ConsPlusTitle"/>
        <w:contextualSpacing/>
        <w:jc w:val="center"/>
        <w:rPr>
          <w:rFonts w:ascii="Times New Roman" w:hAnsi="Times New Roman" w:cs="Times New Roman"/>
          <w:sz w:val="28"/>
          <w:szCs w:val="28"/>
        </w:rPr>
      </w:pPr>
      <w:r w:rsidRPr="00990B24">
        <w:rPr>
          <w:rFonts w:ascii="Times New Roman" w:hAnsi="Times New Roman" w:cs="Times New Roman"/>
          <w:sz w:val="28"/>
          <w:szCs w:val="28"/>
        </w:rPr>
        <w:t>РАСЧЕТНОЙ БЮДЖЕТНОЙ ОБЕСПЕЧЕННОСТИ МУНИЦИПАЛЬНЫХ РАЙОНОВ (ГОРОДСКИХ ОКРУГОВ)</w:t>
      </w:r>
    </w:p>
    <w:p w:rsidR="003E178D" w:rsidRPr="006D62D7" w:rsidRDefault="003E178D" w:rsidP="006D62D7">
      <w:pPr>
        <w:spacing w:after="0" w:line="240" w:lineRule="auto"/>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6D62D7">
        <w:rPr>
          <w:rFonts w:ascii="Times New Roman" w:hAnsi="Times New Roman" w:cs="Times New Roman"/>
          <w:sz w:val="28"/>
          <w:szCs w:val="28"/>
        </w:rPr>
        <w:t>Дотации на выравнивание бюджетной обеспеченности муниципальных районов (городских округов) Ярославской области (далее - муниципальные районы (городские округа) предусматриваются в составе областного бюджета в соответствии</w:t>
      </w:r>
      <w:r w:rsidRPr="00990B24">
        <w:rPr>
          <w:rFonts w:ascii="Times New Roman" w:hAnsi="Times New Roman" w:cs="Times New Roman"/>
          <w:sz w:val="28"/>
          <w:szCs w:val="28"/>
        </w:rPr>
        <w:t xml:space="preserve"> со </w:t>
      </w:r>
      <w:hyperlink r:id="rId6" w:history="1">
        <w:r w:rsidRPr="00990B24">
          <w:rPr>
            <w:rFonts w:ascii="Times New Roman" w:hAnsi="Times New Roman" w:cs="Times New Roman"/>
            <w:sz w:val="28"/>
            <w:szCs w:val="28"/>
          </w:rPr>
          <w:t>статьей 138</w:t>
        </w:r>
      </w:hyperlink>
      <w:r w:rsidRPr="00990B24">
        <w:rPr>
          <w:rFonts w:ascii="Times New Roman" w:hAnsi="Times New Roman" w:cs="Times New Roman"/>
          <w:sz w:val="28"/>
          <w:szCs w:val="28"/>
        </w:rPr>
        <w:t xml:space="preserve"> Бюджетного кодекса Российской Федерации и распределяются с использованием единой методики.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1. Общий объем дотаций на выравнивание бюджетной обеспеченности муниципальных районов (городских округов) (далее - дотации) определяется исходя из необходимости достижения критерия выравнивания расчетной бюджетной обеспеченности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Общий объем дотаций, выделяемых муниципальным районам (городским округам) на очередной финансовый год и на каждый год планового периода (ОДМР(ГО)), определяется по формуле: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638300" cy="285750"/>
            <wp:effectExtent l="0" t="0" r="0" b="0"/>
            <wp:docPr id="15" name="Рисунок 15" descr="base_23638_114662_327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8_114662_32787"/>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285750"/>
                    </a:xfrm>
                    <a:prstGeom prst="rect">
                      <a:avLst/>
                    </a:prstGeom>
                    <a:noFill/>
                    <a:ln>
                      <a:noFill/>
                    </a:ln>
                  </pic:spPr>
                </pic:pic>
              </a:graphicData>
            </a:graphic>
          </wp:inline>
        </w:drawing>
      </w:r>
      <w:r w:rsidRPr="00990B24">
        <w:rPr>
          <w:rFonts w:ascii="Times New Roman" w:hAnsi="Times New Roman" w:cs="Times New Roman"/>
          <w:sz w:val="28"/>
          <w:szCs w:val="28"/>
        </w:rPr>
        <w:t xml:space="preserve">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81025" cy="285750"/>
            <wp:effectExtent l="0" t="0" r="0" b="0"/>
            <wp:docPr id="14" name="Рисунок 14" descr="base_23638_114662_327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38_114662_3278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 cy="285750"/>
                    </a:xfrm>
                    <a:prstGeom prst="rect">
                      <a:avLst/>
                    </a:prstGeom>
                    <a:noFill/>
                    <a:ln>
                      <a:noFill/>
                    </a:ln>
                  </pic:spPr>
                </pic:pic>
              </a:graphicData>
            </a:graphic>
          </wp:inline>
        </w:drawing>
      </w:r>
      <w:r w:rsidRPr="00990B24">
        <w:rPr>
          <w:rFonts w:ascii="Times New Roman" w:hAnsi="Times New Roman" w:cs="Times New Roman"/>
          <w:sz w:val="28"/>
          <w:szCs w:val="28"/>
        </w:rPr>
        <w:t xml:space="preserve"> - суммарный объем дотаций муниципальным районам (городским округам), необходимый для доведения уровня расчетной бюджетной обеспеченности муниципальных районов (городских округов) до установленного критерия выравнивания (</w:t>
      </w:r>
      <w:proofErr w:type="spellStart"/>
      <w:r w:rsidRPr="00990B24">
        <w:rPr>
          <w:rFonts w:ascii="Times New Roman" w:hAnsi="Times New Roman" w:cs="Times New Roman"/>
          <w:sz w:val="28"/>
          <w:szCs w:val="28"/>
        </w:rPr>
        <w:t>Кв</w:t>
      </w:r>
      <w:proofErr w:type="spellEnd"/>
      <w:r w:rsidRPr="00990B24">
        <w:rPr>
          <w:rFonts w:ascii="Times New Roman" w:hAnsi="Times New Roman" w:cs="Times New Roman"/>
          <w:sz w:val="28"/>
          <w:szCs w:val="28"/>
        </w:rPr>
        <w:t>).</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Кв</w:t>
      </w:r>
      <w:proofErr w:type="spellEnd"/>
      <w:r w:rsidRPr="00990B24">
        <w:rPr>
          <w:rFonts w:ascii="Times New Roman" w:hAnsi="Times New Roman" w:cs="Times New Roman"/>
          <w:sz w:val="28"/>
          <w:szCs w:val="28"/>
        </w:rPr>
        <w:t xml:space="preserve"> = </w:t>
      </w:r>
      <w:proofErr w:type="spellStart"/>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min</w:t>
      </w:r>
      <w:proofErr w:type="spellEnd"/>
      <w:r w:rsidRPr="00990B24">
        <w:rPr>
          <w:rFonts w:ascii="Times New Roman" w:hAnsi="Times New Roman" w:cs="Times New Roman"/>
          <w:sz w:val="28"/>
          <w:szCs w:val="28"/>
        </w:rPr>
        <w:t>,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min</w:t>
      </w:r>
      <w:proofErr w:type="spellEnd"/>
      <w:r w:rsidRPr="00990B24">
        <w:rPr>
          <w:rFonts w:ascii="Times New Roman" w:hAnsi="Times New Roman" w:cs="Times New Roman"/>
          <w:sz w:val="28"/>
          <w:szCs w:val="28"/>
        </w:rPr>
        <w:t xml:space="preserve"> - минимальный уровень расчетной бюджетной обеспеченности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lastRenderedPageBreak/>
        <w:t>Минимальный уровень расчетной бюджетной обеспеченности муниципальных районов (городских округов)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по муниципальным районам (городским округам) по формуле: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200150" cy="285750"/>
            <wp:effectExtent l="0" t="0" r="0" b="0"/>
            <wp:docPr id="13" name="Рисунок 13" descr="base_23638_114662_327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38_114662_32789"/>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0150" cy="285750"/>
                    </a:xfrm>
                    <a:prstGeom prst="rect">
                      <a:avLst/>
                    </a:prstGeom>
                    <a:noFill/>
                    <a:ln>
                      <a:noFill/>
                    </a:ln>
                  </pic:spPr>
                </pic:pic>
              </a:graphicData>
            </a:graphic>
          </wp:inline>
        </w:drawing>
      </w:r>
      <w:r w:rsidRPr="00990B24">
        <w:rPr>
          <w:rFonts w:ascii="Times New Roman" w:hAnsi="Times New Roman" w:cs="Times New Roman"/>
          <w:sz w:val="28"/>
          <w:szCs w:val="28"/>
        </w:rPr>
        <w:t xml:space="preserve">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14350" cy="285750"/>
            <wp:effectExtent l="0" t="0" r="0" b="0"/>
            <wp:docPr id="12" name="Рисунок 12" descr="base_23638_114662_327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38_114662_32790"/>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4350" cy="285750"/>
                    </a:xfrm>
                    <a:prstGeom prst="rect">
                      <a:avLst/>
                    </a:prstGeom>
                    <a:noFill/>
                    <a:ln>
                      <a:noFill/>
                    </a:ln>
                  </pic:spPr>
                </pic:pic>
              </a:graphicData>
            </a:graphic>
          </wp:inline>
        </w:drawing>
      </w:r>
      <w:r w:rsidRPr="00990B24">
        <w:rPr>
          <w:rFonts w:ascii="Times New Roman" w:hAnsi="Times New Roman" w:cs="Times New Roman"/>
          <w:sz w:val="28"/>
          <w:szCs w:val="28"/>
        </w:rPr>
        <w:t xml:space="preserve"> - сумма показателей бюджетной обеспеченности муниципальных районов (городских округов), сложившаяся до распределения дотации;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n - количество муниципальных районов (городских округов), участвующих в расчете.</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 xml:space="preserve">Исходя из возможностей областного бюджета общий объем дотаций для муниципальных районов (городских округов) на очередной финансовый год и плановый период увеличивается. При этом критерий выравнивания рассчитывается по формуле, приведенной в </w:t>
      </w:r>
      <w:hyperlink w:anchor="P62" w:history="1">
        <w:r w:rsidRPr="00990B24">
          <w:rPr>
            <w:rFonts w:ascii="Times New Roman" w:hAnsi="Times New Roman" w:cs="Times New Roman"/>
            <w:sz w:val="28"/>
            <w:szCs w:val="28"/>
          </w:rPr>
          <w:t>пункте 4</w:t>
        </w:r>
      </w:hyperlink>
      <w:r w:rsidRPr="00990B24">
        <w:rPr>
          <w:rFonts w:ascii="Times New Roman" w:hAnsi="Times New Roman" w:cs="Times New Roman"/>
          <w:sz w:val="28"/>
          <w:szCs w:val="28"/>
        </w:rPr>
        <w:t xml:space="preserve"> настоящего Порядка.</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Дотации распределяются между муниципальными районами (городскими округами), уровень расчетной бюджетной обеспеченности которых не превышает уровень, принятый в качестве критерия выравнивания расчетной бюджетной обеспеченности муниципальных районов (городских округов), пропорционально отклонению уровня расчетной бюджетной обеспеченности этих муниципальных районов (городских округов) от установленного критерия выравнивания расчетной бюджетной обеспеченности.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Допускается утверждение на плановый период не распределенного между муниципальными районами (городскими округами) объема дотаций на выравнивание бюджетной обеспеченности муниципальных районов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2. Размер дотации i-</w:t>
      </w:r>
      <w:proofErr w:type="spellStart"/>
      <w:r w:rsidRPr="00990B24">
        <w:rPr>
          <w:rFonts w:ascii="Times New Roman" w:hAnsi="Times New Roman" w:cs="Times New Roman"/>
          <w:sz w:val="28"/>
          <w:szCs w:val="28"/>
        </w:rPr>
        <w:t>му</w:t>
      </w:r>
      <w:proofErr w:type="spellEnd"/>
      <w:r w:rsidRPr="00990B24">
        <w:rPr>
          <w:rFonts w:ascii="Times New Roman" w:hAnsi="Times New Roman" w:cs="Times New Roman"/>
          <w:sz w:val="28"/>
          <w:szCs w:val="28"/>
        </w:rPr>
        <w:t xml:space="preserve"> муниципальному району (городскому округу) (</w:t>
      </w:r>
      <w:proofErr w:type="spellStart"/>
      <w:r w:rsidRPr="00990B24">
        <w:rPr>
          <w:rFonts w:ascii="Times New Roman" w:hAnsi="Times New Roman" w:cs="Times New Roman"/>
          <w:sz w:val="28"/>
          <w:szCs w:val="28"/>
        </w:rPr>
        <w:t>Дот</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определяется по формуле: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2752725" cy="285750"/>
            <wp:effectExtent l="0" t="0" r="9525" b="0"/>
            <wp:docPr id="11" name="Рисунок 11" descr="base_23638_114662_327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3638_114662_32791"/>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52725" cy="285750"/>
                    </a:xfrm>
                    <a:prstGeom prst="rect">
                      <a:avLst/>
                    </a:prstGeom>
                    <a:noFill/>
                    <a:ln>
                      <a:noFill/>
                    </a:ln>
                  </pic:spPr>
                </pic:pic>
              </a:graphicData>
            </a:graphic>
          </wp:inline>
        </w:drawing>
      </w:r>
      <w:r w:rsidRPr="00990B24">
        <w:rPr>
          <w:rFonts w:ascii="Times New Roman" w:hAnsi="Times New Roman" w:cs="Times New Roman"/>
          <w:sz w:val="28"/>
          <w:szCs w:val="28"/>
        </w:rPr>
        <w:t xml:space="preserve">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10" name="Рисунок 10" descr="base_23638_114662_327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3638_114662_32792"/>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Pr="00990B24">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Чн</w:t>
      </w:r>
      <w:proofErr w:type="spellEnd"/>
      <w:r w:rsidRPr="00990B24">
        <w:rPr>
          <w:rFonts w:ascii="Times New Roman" w:hAnsi="Times New Roman" w:cs="Times New Roman"/>
          <w:sz w:val="28"/>
          <w:szCs w:val="28"/>
        </w:rPr>
        <w:t xml:space="preserve"> - численность жителей Ярославской области;</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ИБР</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индекс бюджетных расходов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lastRenderedPageBreak/>
        <w:t>Кв</w:t>
      </w:r>
      <w:proofErr w:type="spellEnd"/>
      <w:r w:rsidRPr="00990B24">
        <w:rPr>
          <w:rFonts w:ascii="Times New Roman" w:hAnsi="Times New Roman" w:cs="Times New Roman"/>
          <w:sz w:val="28"/>
          <w:szCs w:val="28"/>
        </w:rPr>
        <w:t xml:space="preserve"> - критерий выравнивания расчетной бюджетной обеспеченности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уровень расчетной бюджетной обеспеченности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Чн</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численность жителей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3. Оценка суммарного налогового потенциала и налоговой базы бюджетов муниципальных районов (городских округов) производится на основе показателей прогноза социально-экономического развития муниципальных районов (городских округов) на очередной финансовый год и плановый период с учетом индексов-дефляторов потребительских цен и цен в сфере материального производства, ожидаемой оценки поступлений соответствующих доходов в бюджеты муниципальных районов (городских округов), а также с учетом изменений, вносимых в законодательство Российской Федерации о налогах и сборах и бюджетное законодательство Российской Федерации.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При оценке налогового потенциала бюджетов муниципальных районов (городских округов) учитывается максимально возможный уровень собираемости налогов (за исключением льгот по земельному налогу, предоставленных организациям, реализующим инвестиционные проекты), поступление недоимки прошлых периодов, реструктуризация задолженности юридических лиц, а также меры по совершенствованию налогового администрирования.</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Рассчитанный прогноз суммарного налогового потенциала бюджетов муниципальных районов (городских округов) применяется в целях определения межбюджетных отношений на очередной финансовый год и плановый период и не является планируемым или рекомендуемым показателем для формирования и утверждения бюджетов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bookmarkStart w:id="1" w:name="P62"/>
      <w:bookmarkEnd w:id="1"/>
      <w:r w:rsidRPr="00990B24">
        <w:rPr>
          <w:rFonts w:ascii="Times New Roman" w:hAnsi="Times New Roman" w:cs="Times New Roman"/>
          <w:sz w:val="28"/>
          <w:szCs w:val="28"/>
        </w:rPr>
        <w:t>4. Критерий выравнивания расчетной бюджетной обеспеченности муниципальных районов (городских округов) на очередной финансовый год и плановый период рассчитывается по формуле: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1381125" cy="285750"/>
            <wp:effectExtent l="0" t="0" r="0" b="0"/>
            <wp:docPr id="9" name="Рисунок 9" descr="base_23638_114662_327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3638_114662_32793"/>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1125" cy="285750"/>
                    </a:xfrm>
                    <a:prstGeom prst="rect">
                      <a:avLst/>
                    </a:prstGeom>
                    <a:noFill/>
                    <a:ln>
                      <a:noFill/>
                    </a:ln>
                  </pic:spPr>
                </pic:pic>
              </a:graphicData>
            </a:graphic>
          </wp:inline>
        </w:drawing>
      </w:r>
      <w:r w:rsidRPr="00990B24">
        <w:rPr>
          <w:rFonts w:ascii="Times New Roman" w:hAnsi="Times New Roman" w:cs="Times New Roman"/>
          <w:sz w:val="28"/>
          <w:szCs w:val="28"/>
        </w:rPr>
        <w:t xml:space="preserve">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К - коэффициент выравнивания расчетной бюджетной обеспеченности муниципальных районов (городских округов), устанавливаемый на очередной финансовый год и плановый период;</w:t>
      </w: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8" name="Рисунок 8" descr="base_23638_114662_327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23638_114662_32794"/>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Pr="00990B24">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342900" cy="285750"/>
            <wp:effectExtent l="0" t="0" r="0" b="0"/>
            <wp:docPr id="7" name="Рисунок 7" descr="base_23638_114662_327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638_114662_32795"/>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2900" cy="285750"/>
                    </a:xfrm>
                    <a:prstGeom prst="rect">
                      <a:avLst/>
                    </a:prstGeom>
                    <a:noFill/>
                    <a:ln>
                      <a:noFill/>
                    </a:ln>
                  </pic:spPr>
                </pic:pic>
              </a:graphicData>
            </a:graphic>
          </wp:inline>
        </w:drawing>
      </w:r>
      <w:r w:rsidRPr="00990B24">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муниципальным районам (городским округам), оказываемых за счет средств бюджетов муниципальных районов (городских округов), на выполнение полномочий органов местного </w:t>
      </w:r>
      <w:r w:rsidRPr="00990B24">
        <w:rPr>
          <w:rFonts w:ascii="Times New Roman" w:hAnsi="Times New Roman" w:cs="Times New Roman"/>
          <w:sz w:val="28"/>
          <w:szCs w:val="28"/>
        </w:rPr>
        <w:lastRenderedPageBreak/>
        <w:t>самоуправления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5. Уровень расчетной бюджетной обеспеченности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 (</w:t>
      </w:r>
      <w:proofErr w:type="spellStart"/>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рассчитывается по формуле: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w:t>
      </w:r>
      <w:proofErr w:type="spellStart"/>
      <w:r w:rsidRPr="00990B24">
        <w:rPr>
          <w:rFonts w:ascii="Times New Roman" w:hAnsi="Times New Roman" w:cs="Times New Roman"/>
          <w:sz w:val="28"/>
          <w:szCs w:val="28"/>
        </w:rPr>
        <w:t>ИНП</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w:t>
      </w:r>
      <w:proofErr w:type="spellStart"/>
      <w:r w:rsidRPr="00990B24">
        <w:rPr>
          <w:rFonts w:ascii="Times New Roman" w:hAnsi="Times New Roman" w:cs="Times New Roman"/>
          <w:sz w:val="28"/>
          <w:szCs w:val="28"/>
        </w:rPr>
        <w:t>ИБР</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ИНП</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индекс налогового потенциала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ИБР</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индекс бюджетных расходов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6. Индекс налогового потенциала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 (</w:t>
      </w:r>
      <w:proofErr w:type="spellStart"/>
      <w:r w:rsidRPr="00990B24">
        <w:rPr>
          <w:rFonts w:ascii="Times New Roman" w:hAnsi="Times New Roman" w:cs="Times New Roman"/>
          <w:sz w:val="28"/>
          <w:szCs w:val="28"/>
        </w:rPr>
        <w:t>ИНП</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рассчитывается как отношение налогового потенциала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 в расчете на одного жителя к аналогичному показателю в целом по муниципальным районам (городским округам) по формуле: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2295525" cy="304800"/>
            <wp:effectExtent l="0" t="0" r="0" b="0"/>
            <wp:docPr id="6" name="Рисунок 6" descr="base_23638_114662_327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638_114662_32796"/>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95525" cy="304800"/>
                    </a:xfrm>
                    <a:prstGeom prst="rect">
                      <a:avLst/>
                    </a:prstGeom>
                    <a:noFill/>
                    <a:ln>
                      <a:noFill/>
                    </a:ln>
                  </pic:spPr>
                </pic:pic>
              </a:graphicData>
            </a:graphic>
          </wp:inline>
        </w:drawing>
      </w:r>
      <w:r w:rsidRPr="00990B24">
        <w:rPr>
          <w:rFonts w:ascii="Times New Roman" w:hAnsi="Times New Roman" w:cs="Times New Roman"/>
          <w:sz w:val="28"/>
          <w:szCs w:val="28"/>
        </w:rPr>
        <w:t xml:space="preserve">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НП</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налоговый потенциал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Чн</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численность жителей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5" name="Рисунок 5" descr="base_23638_114662_327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23638_114662_32797"/>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Pr="00990B24">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Чн</w:t>
      </w:r>
      <w:proofErr w:type="spellEnd"/>
      <w:r w:rsidRPr="00990B24">
        <w:rPr>
          <w:rFonts w:ascii="Times New Roman" w:hAnsi="Times New Roman" w:cs="Times New Roman"/>
          <w:sz w:val="28"/>
          <w:szCs w:val="28"/>
        </w:rPr>
        <w:t xml:space="preserve"> - численность жителей Ярославской области.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7. Индекс бюджетных расходов - относительная (по сравнению со средним по Ярославской области уровнем) оценка расходов бюджетов муниципальных районов (городских округов) по предоставлению одинакового объема муниципальных услуг в расчете на одного жителя, потребителя услуг, определяемая с учетом объективных факторов и условий.</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Индекс бюджетных расходов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 (</w:t>
      </w:r>
      <w:proofErr w:type="spellStart"/>
      <w:r w:rsidRPr="00990B24">
        <w:rPr>
          <w:rFonts w:ascii="Times New Roman" w:hAnsi="Times New Roman" w:cs="Times New Roman"/>
          <w:sz w:val="28"/>
          <w:szCs w:val="28"/>
        </w:rPr>
        <w:t>ИБР</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определяется по формуле:</w:t>
      </w:r>
    </w:p>
    <w:p w:rsidR="003E178D" w:rsidRPr="00990B24" w:rsidRDefault="003E178D" w:rsidP="00DE6615">
      <w:pPr>
        <w:pStyle w:val="ConsPlusNormal"/>
        <w:ind w:firstLine="709"/>
        <w:contextualSpacing/>
        <w:jc w:val="both"/>
        <w:rPr>
          <w:rFonts w:ascii="Times New Roman" w:hAnsi="Times New Roman" w:cs="Times New Roman"/>
          <w:sz w:val="28"/>
          <w:szCs w:val="28"/>
        </w:rPr>
      </w:pP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2"/>
          <w:sz w:val="28"/>
          <w:szCs w:val="28"/>
        </w:rPr>
        <w:drawing>
          <wp:inline distT="0" distB="0" distL="0" distR="0">
            <wp:extent cx="1952625" cy="304800"/>
            <wp:effectExtent l="0" t="0" r="0" b="0"/>
            <wp:docPr id="4" name="Рисунок 4" descr="base_23638_114662_327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638_114662_32798"/>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52625" cy="304800"/>
                    </a:xfrm>
                    <a:prstGeom prst="rect">
                      <a:avLst/>
                    </a:prstGeom>
                    <a:noFill/>
                    <a:ln>
                      <a:noFill/>
                    </a:ln>
                  </pic:spPr>
                </pic:pic>
              </a:graphicData>
            </a:graphic>
          </wp:inline>
        </w:drawing>
      </w:r>
      <w:r w:rsidRPr="00990B24">
        <w:rPr>
          <w:rFonts w:ascii="Times New Roman" w:hAnsi="Times New Roman" w:cs="Times New Roman"/>
          <w:sz w:val="28"/>
          <w:szCs w:val="28"/>
        </w:rPr>
        <w:t xml:space="preserve">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Р</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расчетный показатель общей стоимости предоставления муниципальных услуг, оказываемых за счет средств бюджета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 на выполнение полномочий органов местного самоуправления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Чн</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численность жителей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342900" cy="285750"/>
            <wp:effectExtent l="0" t="0" r="0" b="0"/>
            <wp:docPr id="3" name="Рисунок 3" descr="base_23638_114662_327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23638_114662_32799"/>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2900" cy="285750"/>
                    </a:xfrm>
                    <a:prstGeom prst="rect">
                      <a:avLst/>
                    </a:prstGeom>
                    <a:noFill/>
                    <a:ln>
                      <a:noFill/>
                    </a:ln>
                  </pic:spPr>
                </pic:pic>
              </a:graphicData>
            </a:graphic>
          </wp:inline>
        </w:drawing>
      </w:r>
      <w:r w:rsidRPr="00990B24">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муниципальным районам </w:t>
      </w:r>
      <w:r w:rsidRPr="00990B24">
        <w:rPr>
          <w:rFonts w:ascii="Times New Roman" w:hAnsi="Times New Roman" w:cs="Times New Roman"/>
          <w:sz w:val="28"/>
          <w:szCs w:val="28"/>
        </w:rPr>
        <w:lastRenderedPageBreak/>
        <w:t>(городским округам), оказываемых за счет средств бюджетов муниципальных районов (городских округов), на выполнение полномочий органов местного самоуправления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Чн</w:t>
      </w:r>
      <w:proofErr w:type="spellEnd"/>
      <w:r w:rsidRPr="00990B24">
        <w:rPr>
          <w:rFonts w:ascii="Times New Roman" w:hAnsi="Times New Roman" w:cs="Times New Roman"/>
          <w:sz w:val="28"/>
          <w:szCs w:val="28"/>
        </w:rPr>
        <w:t xml:space="preserve"> - численность жителей Ярославской области.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8. Размер дотации, необходимой для достижения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 рассчитывается только для муниципальных районов (городских округов), уровень расчетной бюджетной обеспеченности которых меньше критерия выравнивания расчетной бюджетной обеспеченности (</w:t>
      </w:r>
      <w:proofErr w:type="spellStart"/>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w:t>
      </w:r>
      <w:proofErr w:type="gramStart"/>
      <w:r w:rsidRPr="00990B24">
        <w:rPr>
          <w:rFonts w:ascii="Times New Roman" w:hAnsi="Times New Roman" w:cs="Times New Roman"/>
          <w:sz w:val="28"/>
          <w:szCs w:val="28"/>
        </w:rPr>
        <w:t xml:space="preserve">&lt; </w:t>
      </w:r>
      <w:proofErr w:type="spellStart"/>
      <w:r w:rsidRPr="00990B24">
        <w:rPr>
          <w:rFonts w:ascii="Times New Roman" w:hAnsi="Times New Roman" w:cs="Times New Roman"/>
          <w:sz w:val="28"/>
          <w:szCs w:val="28"/>
        </w:rPr>
        <w:t>Кв</w:t>
      </w:r>
      <w:proofErr w:type="spellEnd"/>
      <w:proofErr w:type="gramEnd"/>
      <w:r w:rsidRPr="00990B24">
        <w:rPr>
          <w:rFonts w:ascii="Times New Roman" w:hAnsi="Times New Roman" w:cs="Times New Roman"/>
          <w:sz w:val="28"/>
          <w:szCs w:val="28"/>
        </w:rPr>
        <w:t>).</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9. Уровень расчетной бюджетной обеспеченности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 после распределения дотации (БО1</w:t>
      </w:r>
      <w:r w:rsidRPr="00990B24">
        <w:rPr>
          <w:rFonts w:ascii="Times New Roman" w:hAnsi="Times New Roman" w:cs="Times New Roman"/>
          <w:sz w:val="28"/>
          <w:szCs w:val="28"/>
          <w:vertAlign w:val="subscript"/>
        </w:rPr>
        <w:t>i</w:t>
      </w:r>
      <w:r w:rsidRPr="00990B24">
        <w:rPr>
          <w:rFonts w:ascii="Times New Roman" w:hAnsi="Times New Roman" w:cs="Times New Roman"/>
          <w:sz w:val="28"/>
          <w:szCs w:val="28"/>
        </w:rPr>
        <w:t>) определяется по формуле:</w:t>
      </w: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5"/>
          <w:sz w:val="28"/>
          <w:szCs w:val="28"/>
        </w:rPr>
        <w:drawing>
          <wp:inline distT="0" distB="0" distL="0" distR="0">
            <wp:extent cx="3057525" cy="333375"/>
            <wp:effectExtent l="0" t="0" r="0" b="9525"/>
            <wp:docPr id="2" name="Рисунок 2" descr="base_23638_114662_328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23638_114662_32800"/>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57525" cy="333375"/>
                    </a:xfrm>
                    <a:prstGeom prst="rect">
                      <a:avLst/>
                    </a:prstGeom>
                    <a:noFill/>
                    <a:ln>
                      <a:noFill/>
                    </a:ln>
                  </pic:spPr>
                </pic:pic>
              </a:graphicData>
            </a:graphic>
          </wp:inline>
        </w:drawing>
      </w:r>
      <w:r w:rsidRPr="00990B24">
        <w:rPr>
          <w:rFonts w:ascii="Times New Roman" w:hAnsi="Times New Roman" w:cs="Times New Roman"/>
          <w:sz w:val="28"/>
          <w:szCs w:val="28"/>
        </w:rPr>
        <w:t xml:space="preserve">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БО</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уровень расчетной бюджетной обеспеченности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 до распределения дотации;</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Дот</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размер дотации, необходимый для достижения i-м муниципальным районом (городским округом) уровня расчетной бюджетной обеспеченности, установленного в качестве критерия выравнивания расчетной бюджетной обеспеченности;</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ИБР</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индекс бюджетных расходов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Чн</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численность жителей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r>
        <w:rPr>
          <w:rFonts w:ascii="Times New Roman" w:hAnsi="Times New Roman" w:cs="Times New Roman"/>
          <w:noProof/>
          <w:position w:val="-11"/>
          <w:sz w:val="28"/>
          <w:szCs w:val="28"/>
        </w:rPr>
        <w:drawing>
          <wp:inline distT="0" distB="0" distL="0" distR="0">
            <wp:extent cx="504825" cy="285750"/>
            <wp:effectExtent l="0" t="0" r="9525" b="0"/>
            <wp:docPr id="1" name="Рисунок 1" descr="base_23638_114662_328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23638_114662_32801"/>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4825" cy="285750"/>
                    </a:xfrm>
                    <a:prstGeom prst="rect">
                      <a:avLst/>
                    </a:prstGeom>
                    <a:noFill/>
                    <a:ln>
                      <a:noFill/>
                    </a:ln>
                  </pic:spPr>
                </pic:pic>
              </a:graphicData>
            </a:graphic>
          </wp:inline>
        </w:drawing>
      </w:r>
      <w:r w:rsidRPr="00990B24">
        <w:rPr>
          <w:rFonts w:ascii="Times New Roman" w:hAnsi="Times New Roman" w:cs="Times New Roman"/>
          <w:sz w:val="28"/>
          <w:szCs w:val="28"/>
        </w:rPr>
        <w:t xml:space="preserve"> - суммарный налоговый потенциал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Чн</w:t>
      </w:r>
      <w:proofErr w:type="spellEnd"/>
      <w:r w:rsidRPr="00990B24">
        <w:rPr>
          <w:rFonts w:ascii="Times New Roman" w:hAnsi="Times New Roman" w:cs="Times New Roman"/>
          <w:sz w:val="28"/>
          <w:szCs w:val="28"/>
        </w:rPr>
        <w:t xml:space="preserve"> - численность жителей Ярославской области.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10. Расчетные показатели общей стоимости предоставления муниципальных услуг, оказываемых за счет средств бюджетов муниципальных районов (городских округов), определяются с использованием нормативов расходов бюджета, разработанных органами исполнительной власти Ярославской области и утвержденных Правительством Ярославской области, а также с применением иных единых методов расчета.</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Коэффициент выравнивания расчетной бюджетной обеспеченности муниципальных районов (городских округов) рассчитывается органами исполнительной власти Ярославской области и утверждается Правительством Ярославской области.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 xml:space="preserve">Индекс бюджетных расходов и нормативы, применяемые при определении расчетных расходов в рамках настоящей методики, используются только в целях определения межбюджетных отношений на очередной финансовый год и плановый период и не являются планируемыми </w:t>
      </w:r>
      <w:r w:rsidRPr="00990B24">
        <w:rPr>
          <w:rFonts w:ascii="Times New Roman" w:hAnsi="Times New Roman" w:cs="Times New Roman"/>
          <w:sz w:val="28"/>
          <w:szCs w:val="28"/>
        </w:rPr>
        <w:lastRenderedPageBreak/>
        <w:t>или рекомендуемыми показателями для формирования и утверждения бюджетов муниципальных районов (городских округов).</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12. Дотации на выравнивание бюджетной обеспеченности муниципальных районов (городских округов) могут быть полностью или частично заменены дополнительными нормативами отчислений в бюджеты муниципальных районов (городских округов) от налога на доходы физических лиц.</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Размер дополнительного норматива отчислений от налога на доходы физических лиц (</w:t>
      </w:r>
      <w:proofErr w:type="spellStart"/>
      <w:r w:rsidRPr="00990B24">
        <w:rPr>
          <w:rFonts w:ascii="Times New Roman" w:hAnsi="Times New Roman" w:cs="Times New Roman"/>
          <w:sz w:val="28"/>
          <w:szCs w:val="28"/>
        </w:rPr>
        <w:t>Норм.НДФЛ</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определяется как отношение расчетного объема дотации к прогнозируемому в соответствии с единой методикой объему налоговых доходов от налога на доходы физических лиц, подлежащих зачислению в консолидированный бюджет Ярославской области по территории соответствующего муниципального района (городского округа), умноженное на 100, по формуле:</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Норм.НДФЛ</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w:t>
      </w:r>
      <w:proofErr w:type="spellStart"/>
      <w:r w:rsidRPr="00990B24">
        <w:rPr>
          <w:rFonts w:ascii="Times New Roman" w:hAnsi="Times New Roman" w:cs="Times New Roman"/>
          <w:sz w:val="28"/>
          <w:szCs w:val="28"/>
        </w:rPr>
        <w:t>Дот</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w:t>
      </w:r>
      <w:proofErr w:type="spellStart"/>
      <w:r w:rsidRPr="00990B24">
        <w:rPr>
          <w:rFonts w:ascii="Times New Roman" w:hAnsi="Times New Roman" w:cs="Times New Roman"/>
          <w:sz w:val="28"/>
          <w:szCs w:val="28"/>
        </w:rPr>
        <w:t>НДФЛ</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x 100, где:</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Норм.НДФЛ</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дополнительный норматив отчислений от налога на доходы физических лиц в бюджет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 но не более 50 процентов;</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Дот</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размер дотации i-</w:t>
      </w:r>
      <w:proofErr w:type="spellStart"/>
      <w:r w:rsidRPr="00990B24">
        <w:rPr>
          <w:rFonts w:ascii="Times New Roman" w:hAnsi="Times New Roman" w:cs="Times New Roman"/>
          <w:sz w:val="28"/>
          <w:szCs w:val="28"/>
        </w:rPr>
        <w:t>му</w:t>
      </w:r>
      <w:proofErr w:type="spellEnd"/>
      <w:r w:rsidRPr="00990B24">
        <w:rPr>
          <w:rFonts w:ascii="Times New Roman" w:hAnsi="Times New Roman" w:cs="Times New Roman"/>
          <w:sz w:val="28"/>
          <w:szCs w:val="28"/>
        </w:rPr>
        <w:t xml:space="preserve"> муниципальному району (городскому округу);</w:t>
      </w:r>
    </w:p>
    <w:p w:rsidR="003E178D" w:rsidRPr="00990B24" w:rsidRDefault="003E178D" w:rsidP="00DE6615">
      <w:pPr>
        <w:pStyle w:val="ConsPlusNormal"/>
        <w:ind w:firstLine="709"/>
        <w:contextualSpacing/>
        <w:jc w:val="both"/>
        <w:rPr>
          <w:rFonts w:ascii="Times New Roman" w:hAnsi="Times New Roman" w:cs="Times New Roman"/>
          <w:sz w:val="28"/>
          <w:szCs w:val="28"/>
        </w:rPr>
      </w:pPr>
      <w:proofErr w:type="spellStart"/>
      <w:r w:rsidRPr="00990B24">
        <w:rPr>
          <w:rFonts w:ascii="Times New Roman" w:hAnsi="Times New Roman" w:cs="Times New Roman"/>
          <w:sz w:val="28"/>
          <w:szCs w:val="28"/>
        </w:rPr>
        <w:t>НДФЛ</w:t>
      </w:r>
      <w:r w:rsidRPr="00990B24">
        <w:rPr>
          <w:rFonts w:ascii="Times New Roman" w:hAnsi="Times New Roman" w:cs="Times New Roman"/>
          <w:sz w:val="28"/>
          <w:szCs w:val="28"/>
          <w:vertAlign w:val="subscript"/>
        </w:rPr>
        <w:t>i</w:t>
      </w:r>
      <w:proofErr w:type="spellEnd"/>
      <w:r w:rsidRPr="00990B24">
        <w:rPr>
          <w:rFonts w:ascii="Times New Roman" w:hAnsi="Times New Roman" w:cs="Times New Roman"/>
          <w:sz w:val="28"/>
          <w:szCs w:val="28"/>
        </w:rPr>
        <w:t xml:space="preserve"> - прогнозируемый в соответствии с единой методикой объем налоговых доходов от налога на доходы физических лиц, подлежащих зачислению в консолидированный бюджет Ярославской области по территории i-</w:t>
      </w:r>
      <w:proofErr w:type="spellStart"/>
      <w:r w:rsidRPr="00990B24">
        <w:rPr>
          <w:rFonts w:ascii="Times New Roman" w:hAnsi="Times New Roman" w:cs="Times New Roman"/>
          <w:sz w:val="28"/>
          <w:szCs w:val="28"/>
        </w:rPr>
        <w:t>го</w:t>
      </w:r>
      <w:proofErr w:type="spellEnd"/>
      <w:r w:rsidRPr="00990B24">
        <w:rPr>
          <w:rFonts w:ascii="Times New Roman" w:hAnsi="Times New Roman" w:cs="Times New Roman"/>
          <w:sz w:val="28"/>
          <w:szCs w:val="28"/>
        </w:rPr>
        <w:t xml:space="preserve"> муниципального района (городского округа).</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13. Исходя из финансовых возможностей областного бюджета может производиться дополнительное выравнивание бюджетной обеспеченности муниципальных районов (городских округов) следующими методами: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 методом пропорционального выравнивания - путем распределения дотаций пропорционально отставанию уровня расчетной бюджетной обеспеченности муниципальных районов (городских округов) от установленного критерия выравнивания расчетной бюджетной обеспеченности;</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 методом выравнивания до максимально возможного уровня - путем распределения дотаций таким образом, чтобы после выравнивания уровень расчетной бюджетной обеспеченности наименее экономически развитых муниципальных районов (городских округов) был одинаков;</w:t>
      </w:r>
    </w:p>
    <w:p w:rsidR="003E178D" w:rsidRPr="00990B24" w:rsidRDefault="003E178D" w:rsidP="00DE6615">
      <w:pPr>
        <w:pStyle w:val="ConsPlusNormal"/>
        <w:ind w:firstLine="709"/>
        <w:contextualSpacing/>
        <w:jc w:val="both"/>
        <w:rPr>
          <w:rFonts w:ascii="Times New Roman" w:hAnsi="Times New Roman" w:cs="Times New Roman"/>
          <w:sz w:val="28"/>
          <w:szCs w:val="28"/>
        </w:rPr>
      </w:pPr>
      <w:r w:rsidRPr="00990B24">
        <w:rPr>
          <w:rFonts w:ascii="Times New Roman" w:hAnsi="Times New Roman" w:cs="Times New Roman"/>
          <w:sz w:val="28"/>
          <w:szCs w:val="28"/>
        </w:rPr>
        <w:t>- комбинированным методом, предполагающим последовательное использование метода пропорционального выравнивания бюджетной обеспеченности и метода выравнивания до максимально возможного уровня расчетной бюджетной обеспеченности.</w:t>
      </w:r>
    </w:p>
    <w:p w:rsidR="003E178D" w:rsidRDefault="003E178D" w:rsidP="00DE6615">
      <w:pPr>
        <w:spacing w:after="0" w:line="240" w:lineRule="auto"/>
        <w:ind w:firstLine="709"/>
        <w:jc w:val="both"/>
      </w:pPr>
      <w:r w:rsidRPr="00990B24">
        <w:rPr>
          <w:rFonts w:ascii="Times New Roman" w:hAnsi="Times New Roman" w:cs="Times New Roman"/>
          <w:sz w:val="28"/>
          <w:szCs w:val="28"/>
        </w:rPr>
        <w:t>Метод выравнивания бюджетной обеспеченности определяется финансовым органом Ярославской области при составлении областного бюджета.</w:t>
      </w:r>
    </w:p>
    <w:sectPr w:rsidR="003E178D" w:rsidSect="00DB0DF9">
      <w:headerReference w:type="default" r:id="rId2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615" w:rsidRDefault="00DE6615" w:rsidP="00DE6615">
      <w:pPr>
        <w:spacing w:after="0" w:line="240" w:lineRule="auto"/>
      </w:pPr>
      <w:r>
        <w:separator/>
      </w:r>
    </w:p>
  </w:endnote>
  <w:endnote w:type="continuationSeparator" w:id="0">
    <w:p w:rsidR="00DE6615" w:rsidRDefault="00DE6615" w:rsidP="00DE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615" w:rsidRDefault="00DE6615" w:rsidP="00DE6615">
      <w:pPr>
        <w:spacing w:after="0" w:line="240" w:lineRule="auto"/>
      </w:pPr>
      <w:r>
        <w:separator/>
      </w:r>
    </w:p>
  </w:footnote>
  <w:footnote w:type="continuationSeparator" w:id="0">
    <w:p w:rsidR="00DE6615" w:rsidRDefault="00DE6615" w:rsidP="00DE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0530514"/>
      <w:docPartObj>
        <w:docPartGallery w:val="Page Numbers (Top of Page)"/>
        <w:docPartUnique/>
      </w:docPartObj>
    </w:sdtPr>
    <w:sdtEndPr>
      <w:rPr>
        <w:rFonts w:ascii="Times New Roman" w:hAnsi="Times New Roman" w:cs="Times New Roman"/>
        <w:sz w:val="28"/>
        <w:szCs w:val="28"/>
      </w:rPr>
    </w:sdtEndPr>
    <w:sdtContent>
      <w:p w:rsidR="00DE6615" w:rsidRPr="00DE6615" w:rsidRDefault="00DE6615">
        <w:pPr>
          <w:pStyle w:val="a3"/>
          <w:jc w:val="center"/>
          <w:rPr>
            <w:rFonts w:ascii="Times New Roman" w:hAnsi="Times New Roman" w:cs="Times New Roman"/>
            <w:sz w:val="28"/>
            <w:szCs w:val="28"/>
          </w:rPr>
        </w:pPr>
        <w:r w:rsidRPr="00DE6615">
          <w:rPr>
            <w:rFonts w:ascii="Times New Roman" w:hAnsi="Times New Roman" w:cs="Times New Roman"/>
            <w:sz w:val="28"/>
            <w:szCs w:val="28"/>
          </w:rPr>
          <w:fldChar w:fldCharType="begin"/>
        </w:r>
        <w:r w:rsidRPr="00DE6615">
          <w:rPr>
            <w:rFonts w:ascii="Times New Roman" w:hAnsi="Times New Roman" w:cs="Times New Roman"/>
            <w:sz w:val="28"/>
            <w:szCs w:val="28"/>
          </w:rPr>
          <w:instrText>PAGE   \* MERGEFORMAT</w:instrText>
        </w:r>
        <w:r w:rsidRPr="00DE6615">
          <w:rPr>
            <w:rFonts w:ascii="Times New Roman" w:hAnsi="Times New Roman" w:cs="Times New Roman"/>
            <w:sz w:val="28"/>
            <w:szCs w:val="28"/>
          </w:rPr>
          <w:fldChar w:fldCharType="separate"/>
        </w:r>
        <w:r w:rsidR="00DB0DF9">
          <w:rPr>
            <w:rFonts w:ascii="Times New Roman" w:hAnsi="Times New Roman" w:cs="Times New Roman"/>
            <w:noProof/>
            <w:sz w:val="28"/>
            <w:szCs w:val="28"/>
          </w:rPr>
          <w:t>6</w:t>
        </w:r>
        <w:r w:rsidRPr="00DE6615">
          <w:rPr>
            <w:rFonts w:ascii="Times New Roman" w:hAnsi="Times New Roman" w:cs="Times New Roman"/>
            <w:sz w:val="28"/>
            <w:szCs w:val="28"/>
          </w:rPr>
          <w:fldChar w:fldCharType="end"/>
        </w:r>
      </w:p>
    </w:sdtContent>
  </w:sdt>
  <w:p w:rsidR="00DE6615" w:rsidRPr="00DE6615" w:rsidRDefault="00DE6615">
    <w:pPr>
      <w:pStyle w:val="a3"/>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57C"/>
    <w:rsid w:val="003E178D"/>
    <w:rsid w:val="006D62D7"/>
    <w:rsid w:val="009C51FC"/>
    <w:rsid w:val="00DB0DF9"/>
    <w:rsid w:val="00DE6615"/>
    <w:rsid w:val="00DF2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1D3BF-9145-43AD-BF74-4D3FA6B89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78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17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E178D"/>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DE66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E6615"/>
  </w:style>
  <w:style w:type="paragraph" w:styleId="a5">
    <w:name w:val="footer"/>
    <w:basedOn w:val="a"/>
    <w:link w:val="a6"/>
    <w:uiPriority w:val="99"/>
    <w:unhideWhenUsed/>
    <w:rsid w:val="00DE66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E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503187">
      <w:bodyDiv w:val="1"/>
      <w:marLeft w:val="0"/>
      <w:marRight w:val="0"/>
      <w:marTop w:val="0"/>
      <w:marBottom w:val="0"/>
      <w:divBdr>
        <w:top w:val="none" w:sz="0" w:space="0" w:color="auto"/>
        <w:left w:val="none" w:sz="0" w:space="0" w:color="auto"/>
        <w:bottom w:val="none" w:sz="0" w:space="0" w:color="auto"/>
        <w:right w:val="none" w:sz="0" w:space="0" w:color="auto"/>
      </w:divBdr>
      <w:divsChild>
        <w:div w:id="1719158368">
          <w:marLeft w:val="0"/>
          <w:marRight w:val="0"/>
          <w:marTop w:val="0"/>
          <w:marBottom w:val="0"/>
          <w:divBdr>
            <w:top w:val="none" w:sz="0" w:space="0" w:color="auto"/>
            <w:left w:val="none" w:sz="0" w:space="0" w:color="auto"/>
            <w:bottom w:val="none" w:sz="0" w:space="0" w:color="auto"/>
            <w:right w:val="none" w:sz="0" w:space="0" w:color="auto"/>
          </w:divBdr>
        </w:div>
        <w:div w:id="1905329369">
          <w:marLeft w:val="0"/>
          <w:marRight w:val="0"/>
          <w:marTop w:val="0"/>
          <w:marBottom w:val="0"/>
          <w:divBdr>
            <w:top w:val="none" w:sz="0" w:space="0" w:color="auto"/>
            <w:left w:val="none" w:sz="0" w:space="0" w:color="auto"/>
            <w:bottom w:val="none" w:sz="0" w:space="0" w:color="auto"/>
            <w:right w:val="none" w:sz="0" w:space="0" w:color="auto"/>
          </w:divBdr>
        </w:div>
        <w:div w:id="247037553">
          <w:marLeft w:val="0"/>
          <w:marRight w:val="0"/>
          <w:marTop w:val="0"/>
          <w:marBottom w:val="0"/>
          <w:divBdr>
            <w:top w:val="none" w:sz="0" w:space="0" w:color="auto"/>
            <w:left w:val="none" w:sz="0" w:space="0" w:color="auto"/>
            <w:bottom w:val="none" w:sz="0" w:space="0" w:color="auto"/>
            <w:right w:val="none" w:sz="0" w:space="0" w:color="auto"/>
          </w:divBdr>
        </w:div>
        <w:div w:id="1662150592">
          <w:marLeft w:val="0"/>
          <w:marRight w:val="0"/>
          <w:marTop w:val="0"/>
          <w:marBottom w:val="0"/>
          <w:divBdr>
            <w:top w:val="none" w:sz="0" w:space="0" w:color="auto"/>
            <w:left w:val="none" w:sz="0" w:space="0" w:color="auto"/>
            <w:bottom w:val="none" w:sz="0" w:space="0" w:color="auto"/>
            <w:right w:val="none" w:sz="0" w:space="0" w:color="auto"/>
          </w:divBdr>
        </w:div>
        <w:div w:id="1334794534">
          <w:marLeft w:val="0"/>
          <w:marRight w:val="0"/>
          <w:marTop w:val="0"/>
          <w:marBottom w:val="0"/>
          <w:divBdr>
            <w:top w:val="none" w:sz="0" w:space="0" w:color="auto"/>
            <w:left w:val="none" w:sz="0" w:space="0" w:color="auto"/>
            <w:bottom w:val="none" w:sz="0" w:space="0" w:color="auto"/>
            <w:right w:val="none" w:sz="0" w:space="0" w:color="auto"/>
          </w:divBdr>
        </w:div>
        <w:div w:id="901912666">
          <w:marLeft w:val="0"/>
          <w:marRight w:val="0"/>
          <w:marTop w:val="0"/>
          <w:marBottom w:val="0"/>
          <w:divBdr>
            <w:top w:val="none" w:sz="0" w:space="0" w:color="auto"/>
            <w:left w:val="none" w:sz="0" w:space="0" w:color="auto"/>
            <w:bottom w:val="none" w:sz="0" w:space="0" w:color="auto"/>
            <w:right w:val="none" w:sz="0" w:space="0" w:color="auto"/>
          </w:divBdr>
        </w:div>
        <w:div w:id="1440837979">
          <w:marLeft w:val="0"/>
          <w:marRight w:val="0"/>
          <w:marTop w:val="0"/>
          <w:marBottom w:val="0"/>
          <w:divBdr>
            <w:top w:val="none" w:sz="0" w:space="0" w:color="auto"/>
            <w:left w:val="none" w:sz="0" w:space="0" w:color="auto"/>
            <w:bottom w:val="none" w:sz="0" w:space="0" w:color="auto"/>
            <w:right w:val="none" w:sz="0" w:space="0" w:color="auto"/>
          </w:divBdr>
        </w:div>
        <w:div w:id="1360010044">
          <w:marLeft w:val="0"/>
          <w:marRight w:val="0"/>
          <w:marTop w:val="0"/>
          <w:marBottom w:val="0"/>
          <w:divBdr>
            <w:top w:val="none" w:sz="0" w:space="0" w:color="auto"/>
            <w:left w:val="none" w:sz="0" w:space="0" w:color="auto"/>
            <w:bottom w:val="none" w:sz="0" w:space="0" w:color="auto"/>
            <w:right w:val="none" w:sz="0" w:space="0" w:color="auto"/>
          </w:divBdr>
        </w:div>
        <w:div w:id="1761366475">
          <w:marLeft w:val="0"/>
          <w:marRight w:val="0"/>
          <w:marTop w:val="0"/>
          <w:marBottom w:val="0"/>
          <w:divBdr>
            <w:top w:val="none" w:sz="0" w:space="0" w:color="auto"/>
            <w:left w:val="none" w:sz="0" w:space="0" w:color="auto"/>
            <w:bottom w:val="none" w:sz="0" w:space="0" w:color="auto"/>
            <w:right w:val="none" w:sz="0" w:space="0" w:color="auto"/>
          </w:divBdr>
        </w:div>
        <w:div w:id="1961911908">
          <w:marLeft w:val="0"/>
          <w:marRight w:val="0"/>
          <w:marTop w:val="0"/>
          <w:marBottom w:val="0"/>
          <w:divBdr>
            <w:top w:val="none" w:sz="0" w:space="0" w:color="auto"/>
            <w:left w:val="none" w:sz="0" w:space="0" w:color="auto"/>
            <w:bottom w:val="none" w:sz="0" w:space="0" w:color="auto"/>
            <w:right w:val="none" w:sz="0" w:space="0" w:color="auto"/>
          </w:divBdr>
        </w:div>
        <w:div w:id="518204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ettings" Target="setting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styles" Target="styles.xml"/><Relationship Id="rId6" Type="http://schemas.openxmlformats.org/officeDocument/2006/relationships/hyperlink" Target="consultantplus://offline/ref=F8D056D27D1904B1561060F94989D55517400FC74ED52CD5102894FCADC1C90C0A115FC6B7F679E29B82AB0DDEC3F1E8EB382D7E5DE7c5c4M" TargetMode="Externa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footnotes" Target="footnote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6</Pages>
  <Words>1917</Words>
  <Characters>10932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Зинякова Анна Игоревна</dc:creator>
  <cp:keywords/>
  <dc:description/>
  <cp:lastModifiedBy>Зинякова Анна Игоревна</cp:lastModifiedBy>
  <cp:revision>5</cp:revision>
  <dcterms:created xsi:type="dcterms:W3CDTF">2023-10-09T10:42:00Z</dcterms:created>
  <dcterms:modified xsi:type="dcterms:W3CDTF">2023-10-09T13:17:00Z</dcterms:modified>
</cp:coreProperties>
</file>