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5979" w:rsidRPr="00C15979" w:rsidRDefault="00816AD8" w:rsidP="00816AD8">
      <w:pPr>
        <w:widowControl w:val="0"/>
        <w:autoSpaceDE w:val="0"/>
        <w:autoSpaceDN w:val="0"/>
        <w:spacing w:after="0" w:line="240" w:lineRule="auto"/>
        <w:ind w:left="7938"/>
        <w:contextualSpacing/>
        <w:rPr>
          <w:rFonts w:ascii="Times New Roman" w:eastAsia="Times New Roman" w:hAnsi="Times New Roman"/>
          <w:sz w:val="28"/>
          <w:szCs w:val="28"/>
        </w:rPr>
      </w:pPr>
      <w:bookmarkStart w:id="0" w:name="_GoBack"/>
      <w:r>
        <w:rPr>
          <w:rFonts w:ascii="Times New Roman" w:eastAsia="Times New Roman" w:hAnsi="Times New Roman"/>
          <w:sz w:val="28"/>
          <w:szCs w:val="28"/>
        </w:rPr>
        <w:t>ПРОЕКТ</w:t>
      </w:r>
    </w:p>
    <w:bookmarkEnd w:id="0"/>
    <w:p w:rsidR="00C15979" w:rsidRPr="00C15979" w:rsidRDefault="00C15979" w:rsidP="00C15979">
      <w:pPr>
        <w:spacing w:after="0"/>
        <w:rPr>
          <w:rFonts w:ascii="Times New Roman" w:eastAsiaTheme="minorHAnsi" w:hAnsi="Times New Roman"/>
          <w:sz w:val="28"/>
          <w:szCs w:val="28"/>
          <w:lang w:eastAsia="en-US"/>
        </w:rPr>
      </w:pP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Title"/>
        <w:jc w:val="center"/>
        <w:rPr>
          <w:rFonts w:ascii="Times New Roman" w:hAnsi="Times New Roman" w:cs="Times New Roman"/>
          <w:sz w:val="28"/>
          <w:szCs w:val="28"/>
        </w:rPr>
      </w:pPr>
      <w:bookmarkStart w:id="1" w:name="Par440"/>
      <w:bookmarkEnd w:id="1"/>
      <w:r w:rsidRPr="00C15979">
        <w:rPr>
          <w:rFonts w:ascii="Times New Roman" w:hAnsi="Times New Roman" w:cs="Times New Roman"/>
          <w:sz w:val="28"/>
          <w:szCs w:val="28"/>
        </w:rPr>
        <w:t>ПОРЯДОК И МЕТОДИКА</w:t>
      </w:r>
    </w:p>
    <w:p w:rsidR="00B41C34" w:rsidRPr="00C15979" w:rsidRDefault="00B41C34" w:rsidP="00C15979">
      <w:pPr>
        <w:pStyle w:val="ConsPlusTitle"/>
        <w:jc w:val="center"/>
        <w:rPr>
          <w:rFonts w:ascii="Times New Roman" w:hAnsi="Times New Roman" w:cs="Times New Roman"/>
          <w:sz w:val="28"/>
          <w:szCs w:val="28"/>
        </w:rPr>
      </w:pPr>
      <w:r w:rsidRPr="00C15979">
        <w:rPr>
          <w:rFonts w:ascii="Times New Roman" w:hAnsi="Times New Roman" w:cs="Times New Roman"/>
          <w:sz w:val="28"/>
          <w:szCs w:val="28"/>
        </w:rPr>
        <w:t>ОПРЕДЕЛЕНИЯ ОБЪЕМА И РАСПРЕДЕЛЕНИЯ ДОТАЦИЙ НА ВЫРАВНИВАНИЕ</w:t>
      </w:r>
      <w:r w:rsidR="00C15979">
        <w:rPr>
          <w:rFonts w:ascii="Times New Roman" w:hAnsi="Times New Roman" w:cs="Times New Roman"/>
          <w:sz w:val="28"/>
          <w:szCs w:val="28"/>
        </w:rPr>
        <w:t xml:space="preserve"> </w:t>
      </w:r>
      <w:r w:rsidRPr="00C15979">
        <w:rPr>
          <w:rFonts w:ascii="Times New Roman" w:hAnsi="Times New Roman" w:cs="Times New Roman"/>
          <w:sz w:val="28"/>
          <w:szCs w:val="28"/>
        </w:rPr>
        <w:t>БЮДЖЕТНОЙ ОБЕСПЕЧЕННОСТИ МУНИЦИПАЛЬНЫХ РАЙОНОВ (</w:t>
      </w:r>
      <w:r w:rsidRPr="00C15979">
        <w:rPr>
          <w:rFonts w:ascii="Times New Roman" w:hAnsi="Times New Roman" w:cs="Times New Roman"/>
          <w:caps/>
          <w:sz w:val="28"/>
          <w:szCs w:val="28"/>
        </w:rPr>
        <w:t>Муниципальных округов, городских округов</w:t>
      </w:r>
      <w:r w:rsidRPr="00C15979">
        <w:rPr>
          <w:rFonts w:ascii="Times New Roman" w:hAnsi="Times New Roman" w:cs="Times New Roman"/>
          <w:sz w:val="28"/>
          <w:szCs w:val="28"/>
        </w:rPr>
        <w:t>) ЯРОСЛАВСКОЙ ОБЛАСТИ ИЗ ОБЛАСТНОГО БЮДЖЕТА, В ТОМ</w:t>
      </w:r>
      <w:r w:rsidR="00C15979">
        <w:rPr>
          <w:rFonts w:ascii="Times New Roman" w:hAnsi="Times New Roman" w:cs="Times New Roman"/>
          <w:sz w:val="28"/>
          <w:szCs w:val="28"/>
        </w:rPr>
        <w:t xml:space="preserve"> </w:t>
      </w:r>
      <w:r w:rsidRPr="00C15979">
        <w:rPr>
          <w:rFonts w:ascii="Times New Roman" w:hAnsi="Times New Roman" w:cs="Times New Roman"/>
          <w:sz w:val="28"/>
          <w:szCs w:val="28"/>
        </w:rPr>
        <w:t>ЧИСЛЕ ПОРЯДОК РАСЧЕТА И УСТАНОВЛЕНИЯ ПОЛНОСТЬЮ ИЛИ ЧАСТИЧНО</w:t>
      </w:r>
      <w:r w:rsidR="00C15979">
        <w:rPr>
          <w:rFonts w:ascii="Times New Roman" w:hAnsi="Times New Roman" w:cs="Times New Roman"/>
          <w:sz w:val="28"/>
          <w:szCs w:val="28"/>
        </w:rPr>
        <w:t xml:space="preserve"> </w:t>
      </w:r>
      <w:r w:rsidRPr="00C15979">
        <w:rPr>
          <w:rFonts w:ascii="Times New Roman" w:hAnsi="Times New Roman" w:cs="Times New Roman"/>
          <w:sz w:val="28"/>
          <w:szCs w:val="28"/>
        </w:rPr>
        <w:t>ЗАМЕНЯЮЩИХ УКАЗАННЫЕ ДОТАЦИИ ДОПОЛНИТЕЛЬНЫХ НОРМАТИВОВ</w:t>
      </w:r>
      <w:r w:rsidR="00C15979">
        <w:rPr>
          <w:rFonts w:ascii="Times New Roman" w:hAnsi="Times New Roman" w:cs="Times New Roman"/>
          <w:sz w:val="28"/>
          <w:szCs w:val="28"/>
        </w:rPr>
        <w:t xml:space="preserve"> </w:t>
      </w:r>
      <w:r w:rsidRPr="00C15979">
        <w:rPr>
          <w:rFonts w:ascii="Times New Roman" w:hAnsi="Times New Roman" w:cs="Times New Roman"/>
          <w:sz w:val="28"/>
          <w:szCs w:val="28"/>
        </w:rPr>
        <w:t>ОТЧИСЛЕНИЙ ОТ НАЛОГА НА ДОХОДЫ ФИЗИЧЕСКИХ ЛИЦ В БЮДЖЕТЫ</w:t>
      </w:r>
      <w:r w:rsidR="00C15979">
        <w:rPr>
          <w:rFonts w:ascii="Times New Roman" w:hAnsi="Times New Roman" w:cs="Times New Roman"/>
          <w:sz w:val="28"/>
          <w:szCs w:val="28"/>
        </w:rPr>
        <w:t xml:space="preserve"> </w:t>
      </w:r>
      <w:r w:rsidRPr="00C15979">
        <w:rPr>
          <w:rFonts w:ascii="Times New Roman" w:hAnsi="Times New Roman" w:cs="Times New Roman"/>
          <w:sz w:val="28"/>
          <w:szCs w:val="28"/>
        </w:rPr>
        <w:t>МУНИЦИПАЛЬНЫХ РАЙОНОВ (</w:t>
      </w:r>
      <w:r w:rsidRPr="00C15979">
        <w:rPr>
          <w:rFonts w:ascii="Times New Roman" w:hAnsi="Times New Roman" w:cs="Times New Roman"/>
          <w:caps/>
          <w:sz w:val="28"/>
          <w:szCs w:val="28"/>
        </w:rPr>
        <w:t>Муниципальных округов, городских округов</w:t>
      </w:r>
      <w:r w:rsidRPr="00C15979">
        <w:rPr>
          <w:rFonts w:ascii="Times New Roman" w:hAnsi="Times New Roman" w:cs="Times New Roman"/>
          <w:sz w:val="28"/>
          <w:szCs w:val="28"/>
        </w:rPr>
        <w:t>) ЯРОСЛАВСКОЙ</w:t>
      </w:r>
      <w:r w:rsidR="00C15979">
        <w:rPr>
          <w:rFonts w:ascii="Times New Roman" w:hAnsi="Times New Roman" w:cs="Times New Roman"/>
          <w:sz w:val="28"/>
          <w:szCs w:val="28"/>
        </w:rPr>
        <w:t xml:space="preserve"> </w:t>
      </w:r>
      <w:r w:rsidRPr="00C15979">
        <w:rPr>
          <w:rFonts w:ascii="Times New Roman" w:hAnsi="Times New Roman" w:cs="Times New Roman"/>
          <w:sz w:val="28"/>
          <w:szCs w:val="28"/>
        </w:rPr>
        <w:t>ОБЛАСТИ, А ТАКЖЕ ПОРЯДОК ОПРЕДЕЛЕНИЯ КРИТЕРИЯ ВЫРАВНИВАНИЯ</w:t>
      </w:r>
      <w:r w:rsidR="00C15979">
        <w:rPr>
          <w:rFonts w:ascii="Times New Roman" w:hAnsi="Times New Roman" w:cs="Times New Roman"/>
          <w:sz w:val="28"/>
          <w:szCs w:val="28"/>
        </w:rPr>
        <w:t xml:space="preserve"> </w:t>
      </w:r>
      <w:r w:rsidRPr="00C15979">
        <w:rPr>
          <w:rFonts w:ascii="Times New Roman" w:hAnsi="Times New Roman" w:cs="Times New Roman"/>
          <w:sz w:val="28"/>
          <w:szCs w:val="28"/>
        </w:rPr>
        <w:t>РАСЧЕТНОЙ БЮДЖЕТНОЙ ОБЕСПЕЧЕННОСТИ МУНИЦИПАЛЬНЫХ РАЙОНОВ</w:t>
      </w:r>
    </w:p>
    <w:p w:rsidR="00B41C34" w:rsidRPr="00C15979" w:rsidRDefault="00B41C34" w:rsidP="00B41C34">
      <w:pPr>
        <w:pStyle w:val="ConsPlusTitle"/>
        <w:jc w:val="center"/>
        <w:rPr>
          <w:rFonts w:ascii="Times New Roman" w:hAnsi="Times New Roman" w:cs="Times New Roman"/>
          <w:sz w:val="28"/>
          <w:szCs w:val="28"/>
        </w:rPr>
      </w:pPr>
      <w:r w:rsidRPr="00C15979">
        <w:rPr>
          <w:rFonts w:ascii="Times New Roman" w:hAnsi="Times New Roman" w:cs="Times New Roman"/>
          <w:sz w:val="28"/>
          <w:szCs w:val="28"/>
        </w:rPr>
        <w:t>(</w:t>
      </w:r>
      <w:r w:rsidRPr="00C15979">
        <w:rPr>
          <w:rFonts w:ascii="Times New Roman" w:hAnsi="Times New Roman" w:cs="Times New Roman"/>
          <w:caps/>
          <w:sz w:val="28"/>
          <w:szCs w:val="28"/>
        </w:rPr>
        <w:t>Муниципальных округов, городских округов</w:t>
      </w:r>
      <w:r w:rsidRPr="00C15979">
        <w:rPr>
          <w:rFonts w:ascii="Times New Roman" w:hAnsi="Times New Roman" w:cs="Times New Roman"/>
          <w:sz w:val="28"/>
          <w:szCs w:val="28"/>
        </w:rPr>
        <w:t>)</w:t>
      </w:r>
    </w:p>
    <w:p w:rsidR="00B41C34" w:rsidRPr="00C15979" w:rsidRDefault="00B41C34" w:rsidP="00B41C34">
      <w:pPr>
        <w:pStyle w:val="ConsPlusNormal"/>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Дотации на выравнивание бюджетной обеспеченности муниципальных районов (муниципальных округов, городских округов) Ярославской области (далее - муниципальные районы (муниципальные округа, городские округа) предусматриваются в составе областного бюджета в соответствии со статьей 138 Бюджетного кодекса Российской Федерации и распределяются с использованием единой методики.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1. Общий объем дотаций на выравнивание бюджетной обеспеченности муниципальных районов (муниципальных округов, городских округов) (далее - дотации) определяется исходя из необходимости достижения критерия выравнивания расчетной бюджетной обеспеченности муниципальных районов (муниципальных округов, городских округов).</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Общий объем дотаций, выделяемых муниципальным районам (муниципальным округам, городским округам) на очередной финансовый год и на каждый год планового периода (ОДМР(ГО)), определяется по формуле: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drawing>
          <wp:inline distT="0" distB="0" distL="0" distR="0" wp14:anchorId="268F4DFF" wp14:editId="62B00641">
            <wp:extent cx="1781175" cy="30988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81175" cy="309880"/>
                    </a:xfrm>
                    <a:prstGeom prst="rect">
                      <a:avLst/>
                    </a:prstGeom>
                    <a:noFill/>
                    <a:ln>
                      <a:noFill/>
                    </a:ln>
                  </pic:spPr>
                </pic:pic>
              </a:graphicData>
            </a:graphic>
          </wp:inline>
        </w:drawing>
      </w:r>
      <w:r w:rsidRPr="00C15979">
        <w:rPr>
          <w:rFonts w:ascii="Times New Roman" w:hAnsi="Times New Roman" w:cs="Times New Roman"/>
          <w:sz w:val="28"/>
          <w:szCs w:val="28"/>
        </w:rPr>
        <w:t xml:space="preserve"> где: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drawing>
          <wp:inline distT="0" distB="0" distL="0" distR="0" wp14:anchorId="15ECC48E" wp14:editId="373D465E">
            <wp:extent cx="633730" cy="30988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3730" cy="309880"/>
                    </a:xfrm>
                    <a:prstGeom prst="rect">
                      <a:avLst/>
                    </a:prstGeom>
                    <a:noFill/>
                    <a:ln>
                      <a:noFill/>
                    </a:ln>
                  </pic:spPr>
                </pic:pic>
              </a:graphicData>
            </a:graphic>
          </wp:inline>
        </w:drawing>
      </w:r>
      <w:r w:rsidRPr="00C15979">
        <w:rPr>
          <w:rFonts w:ascii="Times New Roman" w:hAnsi="Times New Roman" w:cs="Times New Roman"/>
          <w:sz w:val="28"/>
          <w:szCs w:val="28"/>
        </w:rPr>
        <w:t xml:space="preserve"> - суммарный объем дотаций муниципальным районам (муниципальным округам, городским округам), необходимый для доведения уровня расчетной бюджетной обеспеченности муниципальных районов (муниципальных округов, городских округов) до установленного критерия выравнивания (</w:t>
      </w:r>
      <w:proofErr w:type="spellStart"/>
      <w:r w:rsidRPr="00C15979">
        <w:rPr>
          <w:rFonts w:ascii="Times New Roman" w:hAnsi="Times New Roman" w:cs="Times New Roman"/>
          <w:sz w:val="28"/>
          <w:szCs w:val="28"/>
        </w:rPr>
        <w:t>Кв</w:t>
      </w:r>
      <w:proofErr w:type="spellEnd"/>
      <w:r w:rsidRPr="00C15979">
        <w:rPr>
          <w:rFonts w:ascii="Times New Roman" w:hAnsi="Times New Roman" w:cs="Times New Roman"/>
          <w:sz w:val="28"/>
          <w:szCs w:val="28"/>
        </w:rPr>
        <w:t>).</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Кв</w:t>
      </w:r>
      <w:proofErr w:type="spellEnd"/>
      <w:r w:rsidRPr="00C15979">
        <w:rPr>
          <w:rFonts w:ascii="Times New Roman" w:hAnsi="Times New Roman" w:cs="Times New Roman"/>
          <w:sz w:val="28"/>
          <w:szCs w:val="28"/>
        </w:rPr>
        <w:t xml:space="preserve"> = </w:t>
      </w:r>
      <w:proofErr w:type="spellStart"/>
      <w:r w:rsidRPr="00C15979">
        <w:rPr>
          <w:rFonts w:ascii="Times New Roman" w:hAnsi="Times New Roman" w:cs="Times New Roman"/>
          <w:sz w:val="28"/>
          <w:szCs w:val="28"/>
        </w:rPr>
        <w:t>БО</w:t>
      </w:r>
      <w:r w:rsidRPr="00C15979">
        <w:rPr>
          <w:rFonts w:ascii="Times New Roman" w:hAnsi="Times New Roman" w:cs="Times New Roman"/>
          <w:sz w:val="28"/>
          <w:szCs w:val="28"/>
          <w:vertAlign w:val="subscript"/>
        </w:rPr>
        <w:t>min</w:t>
      </w:r>
      <w:proofErr w:type="spellEnd"/>
      <w:r w:rsidRPr="00C15979">
        <w:rPr>
          <w:rFonts w:ascii="Times New Roman" w:hAnsi="Times New Roman" w:cs="Times New Roman"/>
          <w:sz w:val="28"/>
          <w:szCs w:val="28"/>
        </w:rPr>
        <w:t>, где: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lastRenderedPageBreak/>
        <w:t>БО</w:t>
      </w:r>
      <w:r w:rsidRPr="00C15979">
        <w:rPr>
          <w:rFonts w:ascii="Times New Roman" w:hAnsi="Times New Roman" w:cs="Times New Roman"/>
          <w:sz w:val="28"/>
          <w:szCs w:val="28"/>
          <w:vertAlign w:val="subscript"/>
        </w:rPr>
        <w:t>min</w:t>
      </w:r>
      <w:proofErr w:type="spellEnd"/>
      <w:r w:rsidRPr="00C15979">
        <w:rPr>
          <w:rFonts w:ascii="Times New Roman" w:hAnsi="Times New Roman" w:cs="Times New Roman"/>
          <w:sz w:val="28"/>
          <w:szCs w:val="28"/>
        </w:rPr>
        <w:t xml:space="preserve"> - минимальный уровень расчетной бюджетной обеспеченности муниципальных районов (муниципальных округов, городских округов).</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Минимальный уровень расчетной бюджетной обеспеченности муниципальных районов (муниципальных округов, городских округов)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по муниципальным районам (муниципальным округам, городским округам) по формуле: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drawing>
          <wp:inline distT="0" distB="0" distL="0" distR="0" wp14:anchorId="44C14244" wp14:editId="4517F46F">
            <wp:extent cx="1310005" cy="30988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0005" cy="309880"/>
                    </a:xfrm>
                    <a:prstGeom prst="rect">
                      <a:avLst/>
                    </a:prstGeom>
                    <a:noFill/>
                    <a:ln>
                      <a:noFill/>
                    </a:ln>
                  </pic:spPr>
                </pic:pic>
              </a:graphicData>
            </a:graphic>
          </wp:inline>
        </w:drawing>
      </w:r>
      <w:r w:rsidRPr="00C15979">
        <w:rPr>
          <w:rFonts w:ascii="Times New Roman" w:hAnsi="Times New Roman" w:cs="Times New Roman"/>
          <w:sz w:val="28"/>
          <w:szCs w:val="28"/>
        </w:rPr>
        <w:t xml:space="preserve"> где: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drawing>
          <wp:inline distT="0" distB="0" distL="0" distR="0" wp14:anchorId="430915F9" wp14:editId="4E9CCE84">
            <wp:extent cx="557530" cy="30988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7530" cy="309880"/>
                    </a:xfrm>
                    <a:prstGeom prst="rect">
                      <a:avLst/>
                    </a:prstGeom>
                    <a:noFill/>
                    <a:ln>
                      <a:noFill/>
                    </a:ln>
                  </pic:spPr>
                </pic:pic>
              </a:graphicData>
            </a:graphic>
          </wp:inline>
        </w:drawing>
      </w:r>
      <w:r w:rsidRPr="00C15979">
        <w:rPr>
          <w:rFonts w:ascii="Times New Roman" w:hAnsi="Times New Roman" w:cs="Times New Roman"/>
          <w:sz w:val="28"/>
          <w:szCs w:val="28"/>
        </w:rPr>
        <w:t xml:space="preserve"> - сумма показателей бюджетной обеспеченности муниципальных районов (муниципальных округов, городских округов), сложившаяся до распределения дотации;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n - количество муниципальных районов (муниципальных округов, городских округов), участвующих в расчете.</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 xml:space="preserve">Исходя из возможностей областного бюджета общий объем дотаций для муниципальных районов (муниципальных округов, городских округов) на очередной финансовый год и плановый период увеличивается. При этом критерий выравнивания рассчитывается по формуле, приведенной в </w:t>
      </w:r>
      <w:hyperlink w:anchor="Par497" w:tooltip="4. Критерий выравнивания расчетной бюджетной обеспеченности муниципальных районов (городских округов) на очередной финансовый год и плановый период рассчитывается по формуле:" w:history="1">
        <w:r w:rsidRPr="00C15979">
          <w:rPr>
            <w:rFonts w:ascii="Times New Roman" w:hAnsi="Times New Roman" w:cs="Times New Roman"/>
            <w:sz w:val="28"/>
            <w:szCs w:val="28"/>
          </w:rPr>
          <w:t>пункте 4</w:t>
        </w:r>
      </w:hyperlink>
      <w:r w:rsidRPr="00C15979">
        <w:rPr>
          <w:rFonts w:ascii="Times New Roman" w:hAnsi="Times New Roman" w:cs="Times New Roman"/>
          <w:sz w:val="28"/>
          <w:szCs w:val="28"/>
        </w:rPr>
        <w:t xml:space="preserve"> настоящего Порядка.</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Дотации распределяются между муниципальными районами (муниципальными округами, городскими округами), уровень расчетной бюджетной обеспеченности которых не превышает уровень, принятый в качестве критерия выравнивания расчетной бюджетной обеспеченности муниципальных районов (муниципальных округов, городских округов), пропорционально отклонению уровня расчетной бюджетной обеспеченности этих муниципальных районов (муниципальных округов, городских округов) от установленного критерия выравнивания расчетной бюджетной обеспеченности.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Допускается утверждение на плановый период не распределенного между муниципальными районами (муниципальными округами, городскими округами) объема дотаций на выравнивание бюджетной обеспеченности муниципальных районов (муниципальных округов, городских округов) в размере не более 20 процентов общего объема указанных дотаций, утвержденного на первый год планового периода, и не более 20 процентов общего объема указанных дотаций, утвержденного на второй год планового периода.</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2. Размер дотации i-</w:t>
      </w:r>
      <w:proofErr w:type="spellStart"/>
      <w:r w:rsidRPr="00C15979">
        <w:rPr>
          <w:rFonts w:ascii="Times New Roman" w:hAnsi="Times New Roman" w:cs="Times New Roman"/>
          <w:sz w:val="28"/>
          <w:szCs w:val="28"/>
        </w:rPr>
        <w:t>му</w:t>
      </w:r>
      <w:proofErr w:type="spellEnd"/>
      <w:r w:rsidRPr="00C15979">
        <w:rPr>
          <w:rFonts w:ascii="Times New Roman" w:hAnsi="Times New Roman" w:cs="Times New Roman"/>
          <w:sz w:val="28"/>
          <w:szCs w:val="28"/>
        </w:rPr>
        <w:t xml:space="preserve"> муниципальному району (муниципальному округу, городскому округу) (</w:t>
      </w:r>
      <w:proofErr w:type="spellStart"/>
      <w:r w:rsidRPr="00C15979">
        <w:rPr>
          <w:rFonts w:ascii="Times New Roman" w:hAnsi="Times New Roman" w:cs="Times New Roman"/>
          <w:sz w:val="28"/>
          <w:szCs w:val="28"/>
        </w:rPr>
        <w:t>Дот</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определяется по формуле: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drawing>
          <wp:inline distT="0" distB="0" distL="0" distR="0" wp14:anchorId="70AB8EB8" wp14:editId="008F10D9">
            <wp:extent cx="3000375" cy="30988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00375" cy="309880"/>
                    </a:xfrm>
                    <a:prstGeom prst="rect">
                      <a:avLst/>
                    </a:prstGeom>
                    <a:noFill/>
                    <a:ln>
                      <a:noFill/>
                    </a:ln>
                  </pic:spPr>
                </pic:pic>
              </a:graphicData>
            </a:graphic>
          </wp:inline>
        </w:drawing>
      </w:r>
      <w:r w:rsidRPr="00C15979">
        <w:rPr>
          <w:rFonts w:ascii="Times New Roman" w:hAnsi="Times New Roman" w:cs="Times New Roman"/>
          <w:sz w:val="28"/>
          <w:szCs w:val="28"/>
        </w:rPr>
        <w:t xml:space="preserve"> где: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drawing>
          <wp:inline distT="0" distB="0" distL="0" distR="0" wp14:anchorId="0B860CCF" wp14:editId="30A6089D">
            <wp:extent cx="548005" cy="30988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8005" cy="309880"/>
                    </a:xfrm>
                    <a:prstGeom prst="rect">
                      <a:avLst/>
                    </a:prstGeom>
                    <a:noFill/>
                    <a:ln>
                      <a:noFill/>
                    </a:ln>
                  </pic:spPr>
                </pic:pic>
              </a:graphicData>
            </a:graphic>
          </wp:inline>
        </w:drawing>
      </w:r>
      <w:r w:rsidRPr="00C15979">
        <w:rPr>
          <w:rFonts w:ascii="Times New Roman" w:hAnsi="Times New Roman" w:cs="Times New Roman"/>
          <w:sz w:val="28"/>
          <w:szCs w:val="28"/>
        </w:rPr>
        <w:t xml:space="preserve"> - суммарный налоговый потенциал муниципальных районов </w:t>
      </w:r>
      <w:r w:rsidRPr="00C15979">
        <w:rPr>
          <w:rFonts w:ascii="Times New Roman" w:hAnsi="Times New Roman" w:cs="Times New Roman"/>
          <w:sz w:val="28"/>
          <w:szCs w:val="28"/>
        </w:rPr>
        <w:lastRenderedPageBreak/>
        <w:t>(муниципальных округов, городских округов);</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Чн</w:t>
      </w:r>
      <w:proofErr w:type="spellEnd"/>
      <w:r w:rsidRPr="00C15979">
        <w:rPr>
          <w:rFonts w:ascii="Times New Roman" w:hAnsi="Times New Roman" w:cs="Times New Roman"/>
          <w:sz w:val="28"/>
          <w:szCs w:val="28"/>
        </w:rPr>
        <w:t xml:space="preserve"> - численность жителей Ярославской области;</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ИБР</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индекс бюджетных расходов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Кв</w:t>
      </w:r>
      <w:proofErr w:type="spellEnd"/>
      <w:r w:rsidRPr="00C15979">
        <w:rPr>
          <w:rFonts w:ascii="Times New Roman" w:hAnsi="Times New Roman" w:cs="Times New Roman"/>
          <w:sz w:val="28"/>
          <w:szCs w:val="28"/>
        </w:rPr>
        <w:t xml:space="preserve"> - критерий выравнивания расчетной бюджетной обеспеченности муниципальных районов (муниципальных округов, городских округов);</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БО</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уровень расчетной бюджетной обеспеченности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Чн</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численность жителей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3. Оценка суммарного налогового потенциала и налоговой базы бюджетов муниципальных районов (муниципальных округов, городских округов) производится на основе показателей прогноза социально-экономического развития муниципальных районов (муниципальных округов, городских округов) на очередной финансовый год и плановый период с учетом индексов-дефляторов потребительских цен и цен в сфере материального производства, ожидаемой оценки поступлений соответствующих доходов в бюджеты муниципальных районов (муниципальных округов, городских округов), а также с учетом изменений, вносимых в законодательство Российской Федерации о налогах и сборах и бюджетное законодательство Российской Федерации.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При оценке налогового потенциала бюджетов муниципальных районов (муниципальных округов, городских округов) учитывается максимально возможный уровень собираемости налогов (за исключением льгот по земельному налогу, предоставленных организациям, реализующим инвестиционные проекты), поступление недоимки прошлых периодов, реструктуризация задолженности юридических лиц, а также меры по совершенствованию налогового администрирования.</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Рассчитанный прогноз суммарного налогового потенциала бюджетов муниципальных районов (муниципальных округов, городских округов) применяется в целях определения межбюджетных отношений на очередной финансовый год и плановый период и не является планируемым или рекомендуемым показателем для формирования и утверждения бюджетов муниципальных районов (муниципальных округов, городских округов).</w:t>
      </w:r>
    </w:p>
    <w:p w:rsidR="00B41C34" w:rsidRPr="00C15979" w:rsidRDefault="00B41C34" w:rsidP="00B41C34">
      <w:pPr>
        <w:pStyle w:val="ConsPlusNormal"/>
        <w:ind w:firstLine="540"/>
        <w:jc w:val="both"/>
        <w:rPr>
          <w:rFonts w:ascii="Times New Roman" w:hAnsi="Times New Roman" w:cs="Times New Roman"/>
          <w:sz w:val="28"/>
          <w:szCs w:val="28"/>
        </w:rPr>
      </w:pPr>
      <w:bookmarkStart w:id="2" w:name="Par497"/>
      <w:bookmarkEnd w:id="2"/>
      <w:r w:rsidRPr="00C15979">
        <w:rPr>
          <w:rFonts w:ascii="Times New Roman" w:hAnsi="Times New Roman" w:cs="Times New Roman"/>
          <w:sz w:val="28"/>
          <w:szCs w:val="28"/>
        </w:rPr>
        <w:t>4. Критерий выравнивания расчетной бюджетной обеспеченности муниципальных районов (муниципальных округов, городских округов) на очередной финансовый год и плановый период рассчитывается по формуле: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drawing>
          <wp:inline distT="0" distB="0" distL="0" distR="0" wp14:anchorId="6CA542D7" wp14:editId="1B022576">
            <wp:extent cx="1510030" cy="30988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0030" cy="309880"/>
                    </a:xfrm>
                    <a:prstGeom prst="rect">
                      <a:avLst/>
                    </a:prstGeom>
                    <a:noFill/>
                    <a:ln>
                      <a:noFill/>
                    </a:ln>
                  </pic:spPr>
                </pic:pic>
              </a:graphicData>
            </a:graphic>
          </wp:inline>
        </w:drawing>
      </w:r>
      <w:r w:rsidRPr="00C15979">
        <w:rPr>
          <w:rFonts w:ascii="Times New Roman" w:hAnsi="Times New Roman" w:cs="Times New Roman"/>
          <w:sz w:val="28"/>
          <w:szCs w:val="28"/>
        </w:rPr>
        <w:t xml:space="preserve"> где: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К - коэффициент выравнивания расчетной бюджетной обеспеченности муниципальных районов (муниципальных округов, городских округов), устанавливаемый на очередной финансовый год и плановый период;</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lastRenderedPageBreak/>
        <w:drawing>
          <wp:inline distT="0" distB="0" distL="0" distR="0" wp14:anchorId="3C63D897" wp14:editId="5D78DF96">
            <wp:extent cx="548005" cy="30988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8005" cy="309880"/>
                    </a:xfrm>
                    <a:prstGeom prst="rect">
                      <a:avLst/>
                    </a:prstGeom>
                    <a:noFill/>
                    <a:ln>
                      <a:noFill/>
                    </a:ln>
                  </pic:spPr>
                </pic:pic>
              </a:graphicData>
            </a:graphic>
          </wp:inline>
        </w:drawing>
      </w:r>
      <w:r w:rsidRPr="00C15979">
        <w:rPr>
          <w:rFonts w:ascii="Times New Roman" w:hAnsi="Times New Roman" w:cs="Times New Roman"/>
          <w:sz w:val="28"/>
          <w:szCs w:val="28"/>
        </w:rPr>
        <w:t xml:space="preserve"> - суммарный налоговый потенциал муниципальных районов (муниципальных округов, городских округов);</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drawing>
          <wp:inline distT="0" distB="0" distL="0" distR="0" wp14:anchorId="01266951" wp14:editId="39A30A83">
            <wp:extent cx="376555" cy="30988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6555" cy="309880"/>
                    </a:xfrm>
                    <a:prstGeom prst="rect">
                      <a:avLst/>
                    </a:prstGeom>
                    <a:noFill/>
                    <a:ln>
                      <a:noFill/>
                    </a:ln>
                  </pic:spPr>
                </pic:pic>
              </a:graphicData>
            </a:graphic>
          </wp:inline>
        </w:drawing>
      </w:r>
      <w:r w:rsidRPr="00C15979">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муниципальным районам (муниципальным округам, городским округам), оказываемых за счет средств бюджетов муниципальных районов (муниципальных округов, городских округов), на выполнение полномочий органов местного самоуправления муниципальных районов (муниципальных округов, городских округов).</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5. Уровень расчетной бюджетной обеспеченности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 (</w:t>
      </w:r>
      <w:proofErr w:type="spellStart"/>
      <w:r w:rsidRPr="00C15979">
        <w:rPr>
          <w:rFonts w:ascii="Times New Roman" w:hAnsi="Times New Roman" w:cs="Times New Roman"/>
          <w:sz w:val="28"/>
          <w:szCs w:val="28"/>
        </w:rPr>
        <w:t>БО</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рассчитывается по формуле: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БО</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w:t>
      </w:r>
      <w:proofErr w:type="spellStart"/>
      <w:r w:rsidRPr="00C15979">
        <w:rPr>
          <w:rFonts w:ascii="Times New Roman" w:hAnsi="Times New Roman" w:cs="Times New Roman"/>
          <w:sz w:val="28"/>
          <w:szCs w:val="28"/>
        </w:rPr>
        <w:t>ИНП</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w:t>
      </w:r>
      <w:proofErr w:type="spellStart"/>
      <w:r w:rsidRPr="00C15979">
        <w:rPr>
          <w:rFonts w:ascii="Times New Roman" w:hAnsi="Times New Roman" w:cs="Times New Roman"/>
          <w:sz w:val="28"/>
          <w:szCs w:val="28"/>
        </w:rPr>
        <w:t>ИБР</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где: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ИНП</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индекс налогового потенциала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ИБР</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индекс бюджетных расходов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6. Индекс налогового потенциала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 (</w:t>
      </w:r>
      <w:proofErr w:type="spellStart"/>
      <w:r w:rsidRPr="00C15979">
        <w:rPr>
          <w:rFonts w:ascii="Times New Roman" w:hAnsi="Times New Roman" w:cs="Times New Roman"/>
          <w:sz w:val="28"/>
          <w:szCs w:val="28"/>
        </w:rPr>
        <w:t>ИНП</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рассчитывается как отношение налогового потенциала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 в расчете на одного жителя к аналогичному показателю в целом по муниципальным районам (муниципальным округам, городским округам) по формуле: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4"/>
          <w:sz w:val="28"/>
          <w:szCs w:val="28"/>
        </w:rPr>
        <w:drawing>
          <wp:inline distT="0" distB="0" distL="0" distR="0" wp14:anchorId="3ED7255F" wp14:editId="5EC19463">
            <wp:extent cx="2500630" cy="33337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500630" cy="333375"/>
                    </a:xfrm>
                    <a:prstGeom prst="rect">
                      <a:avLst/>
                    </a:prstGeom>
                    <a:noFill/>
                    <a:ln>
                      <a:noFill/>
                    </a:ln>
                  </pic:spPr>
                </pic:pic>
              </a:graphicData>
            </a:graphic>
          </wp:inline>
        </w:drawing>
      </w:r>
      <w:r w:rsidRPr="00C15979">
        <w:rPr>
          <w:rFonts w:ascii="Times New Roman" w:hAnsi="Times New Roman" w:cs="Times New Roman"/>
          <w:sz w:val="28"/>
          <w:szCs w:val="28"/>
        </w:rPr>
        <w:t xml:space="preserve"> где: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НП</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налоговый потенциал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Чн</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численность жителей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drawing>
          <wp:inline distT="0" distB="0" distL="0" distR="0" wp14:anchorId="436682DD" wp14:editId="4EB73D83">
            <wp:extent cx="548005" cy="30988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8005" cy="309880"/>
                    </a:xfrm>
                    <a:prstGeom prst="rect">
                      <a:avLst/>
                    </a:prstGeom>
                    <a:noFill/>
                    <a:ln>
                      <a:noFill/>
                    </a:ln>
                  </pic:spPr>
                </pic:pic>
              </a:graphicData>
            </a:graphic>
          </wp:inline>
        </w:drawing>
      </w:r>
      <w:r w:rsidRPr="00C15979">
        <w:rPr>
          <w:rFonts w:ascii="Times New Roman" w:hAnsi="Times New Roman" w:cs="Times New Roman"/>
          <w:sz w:val="28"/>
          <w:szCs w:val="28"/>
        </w:rPr>
        <w:t xml:space="preserve"> - суммарный налоговый потенциал муниципальных районов (муниципальных округов, городских округов);</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Чн</w:t>
      </w:r>
      <w:proofErr w:type="spellEnd"/>
      <w:r w:rsidRPr="00C15979">
        <w:rPr>
          <w:rFonts w:ascii="Times New Roman" w:hAnsi="Times New Roman" w:cs="Times New Roman"/>
          <w:sz w:val="28"/>
          <w:szCs w:val="28"/>
        </w:rPr>
        <w:t xml:space="preserve"> - численность жителей Ярославской области.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7. Индекс бюджетных расходов - относительная (по сравнению со средним по Ярославской области уровнем) оценка расходов бюджетов муниципальных районов (муниципальных округов, городских округов) по предоставлению одинакового объема муниципальных услуг в расчете на одного жителя, потребителя услуг, определяемая с учетом объективных факторов и условий.</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Индекс бюджетных расходов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 (</w:t>
      </w:r>
      <w:proofErr w:type="spellStart"/>
      <w:r w:rsidRPr="00C15979">
        <w:rPr>
          <w:rFonts w:ascii="Times New Roman" w:hAnsi="Times New Roman" w:cs="Times New Roman"/>
          <w:sz w:val="28"/>
          <w:szCs w:val="28"/>
        </w:rPr>
        <w:t>ИБР</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определяется по формуле: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4"/>
          <w:sz w:val="28"/>
          <w:szCs w:val="28"/>
        </w:rPr>
        <w:lastRenderedPageBreak/>
        <w:drawing>
          <wp:inline distT="0" distB="0" distL="0" distR="0" wp14:anchorId="66BFB3A3" wp14:editId="635B6761">
            <wp:extent cx="2133600" cy="33337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33600" cy="333375"/>
                    </a:xfrm>
                    <a:prstGeom prst="rect">
                      <a:avLst/>
                    </a:prstGeom>
                    <a:noFill/>
                    <a:ln>
                      <a:noFill/>
                    </a:ln>
                  </pic:spPr>
                </pic:pic>
              </a:graphicData>
            </a:graphic>
          </wp:inline>
        </w:drawing>
      </w:r>
      <w:r w:rsidRPr="00C15979">
        <w:rPr>
          <w:rFonts w:ascii="Times New Roman" w:hAnsi="Times New Roman" w:cs="Times New Roman"/>
          <w:sz w:val="28"/>
          <w:szCs w:val="28"/>
        </w:rPr>
        <w:t xml:space="preserve"> где: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Р</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расчетный показатель общей стоимости предоставления муниципальных услуг, оказываемых за счет средств бюджета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 на выполнение полномочий органов местного самоуправления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Чн</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численность жителей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drawing>
          <wp:inline distT="0" distB="0" distL="0" distR="0" wp14:anchorId="4499D50C" wp14:editId="5C8EFAE9">
            <wp:extent cx="376555" cy="30988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76555" cy="309880"/>
                    </a:xfrm>
                    <a:prstGeom prst="rect">
                      <a:avLst/>
                    </a:prstGeom>
                    <a:noFill/>
                    <a:ln>
                      <a:noFill/>
                    </a:ln>
                  </pic:spPr>
                </pic:pic>
              </a:graphicData>
            </a:graphic>
          </wp:inline>
        </w:drawing>
      </w:r>
      <w:r w:rsidRPr="00C15979">
        <w:rPr>
          <w:rFonts w:ascii="Times New Roman" w:hAnsi="Times New Roman" w:cs="Times New Roman"/>
          <w:sz w:val="28"/>
          <w:szCs w:val="28"/>
        </w:rPr>
        <w:t xml:space="preserve"> - суммарный объем расчетных показателей общей стоимости предоставления муниципальных услуг по муниципальным районам (муниципальным округам, городским округам), оказываемых за счет средств бюджетов муниципальных районов (муниципальных округов, городских округов), на выполнение полномочий органов местного самоуправления муниципальных районов (муниципальных округов, городских округов);</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Чн</w:t>
      </w:r>
      <w:proofErr w:type="spellEnd"/>
      <w:r w:rsidRPr="00C15979">
        <w:rPr>
          <w:rFonts w:ascii="Times New Roman" w:hAnsi="Times New Roman" w:cs="Times New Roman"/>
          <w:sz w:val="28"/>
          <w:szCs w:val="28"/>
        </w:rPr>
        <w:t xml:space="preserve"> - численность жителей Ярославской области.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8. Размер дотации, необходимой для достижения муниципальным районом (муниципальным округом, городским округом) уровня расчетной бюджетной обеспеченности, установленного в качестве критерия выравнивания расчетной бюджетной обеспеченности, рассчитывается только для муниципальных районов (муниципальных округов, городских округов), уровень расчетной бюджетной обеспеченности которых меньше критерия выравнивания расчетной бюджетной обеспеченности (</w:t>
      </w:r>
      <w:proofErr w:type="spellStart"/>
      <w:r w:rsidRPr="00C15979">
        <w:rPr>
          <w:rFonts w:ascii="Times New Roman" w:hAnsi="Times New Roman" w:cs="Times New Roman"/>
          <w:sz w:val="28"/>
          <w:szCs w:val="28"/>
        </w:rPr>
        <w:t>БО</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w:t>
      </w:r>
      <w:proofErr w:type="gramStart"/>
      <w:r w:rsidRPr="00C15979">
        <w:rPr>
          <w:rFonts w:ascii="Times New Roman" w:hAnsi="Times New Roman" w:cs="Times New Roman"/>
          <w:sz w:val="28"/>
          <w:szCs w:val="28"/>
        </w:rPr>
        <w:t xml:space="preserve">&lt; </w:t>
      </w:r>
      <w:proofErr w:type="spellStart"/>
      <w:r w:rsidRPr="00C15979">
        <w:rPr>
          <w:rFonts w:ascii="Times New Roman" w:hAnsi="Times New Roman" w:cs="Times New Roman"/>
          <w:sz w:val="28"/>
          <w:szCs w:val="28"/>
        </w:rPr>
        <w:t>Кв</w:t>
      </w:r>
      <w:proofErr w:type="spellEnd"/>
      <w:proofErr w:type="gramEnd"/>
      <w:r w:rsidRPr="00C15979">
        <w:rPr>
          <w:rFonts w:ascii="Times New Roman" w:hAnsi="Times New Roman" w:cs="Times New Roman"/>
          <w:sz w:val="28"/>
          <w:szCs w:val="28"/>
        </w:rPr>
        <w:t>).</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9. Уровень расчетной бюджетной обеспеченности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 после распределения дотации (БО1</w:t>
      </w:r>
      <w:r w:rsidRPr="00C15979">
        <w:rPr>
          <w:rFonts w:ascii="Times New Roman" w:hAnsi="Times New Roman" w:cs="Times New Roman"/>
          <w:sz w:val="28"/>
          <w:szCs w:val="28"/>
          <w:vertAlign w:val="subscript"/>
        </w:rPr>
        <w:t>i</w:t>
      </w:r>
      <w:r w:rsidRPr="00C15979">
        <w:rPr>
          <w:rFonts w:ascii="Times New Roman" w:hAnsi="Times New Roman" w:cs="Times New Roman"/>
          <w:sz w:val="28"/>
          <w:szCs w:val="28"/>
        </w:rPr>
        <w:t>) определяется по формуле: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6"/>
          <w:sz w:val="28"/>
          <w:szCs w:val="28"/>
        </w:rPr>
        <w:drawing>
          <wp:inline distT="0" distB="0" distL="0" distR="0" wp14:anchorId="743C9668" wp14:editId="536304D9">
            <wp:extent cx="3338830" cy="36703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338830" cy="367030"/>
                    </a:xfrm>
                    <a:prstGeom prst="rect">
                      <a:avLst/>
                    </a:prstGeom>
                    <a:noFill/>
                    <a:ln>
                      <a:noFill/>
                    </a:ln>
                  </pic:spPr>
                </pic:pic>
              </a:graphicData>
            </a:graphic>
          </wp:inline>
        </w:drawing>
      </w:r>
      <w:r w:rsidRPr="00C15979">
        <w:rPr>
          <w:rFonts w:ascii="Times New Roman" w:hAnsi="Times New Roman" w:cs="Times New Roman"/>
          <w:sz w:val="28"/>
          <w:szCs w:val="28"/>
        </w:rPr>
        <w:t xml:space="preserve"> где: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БО</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уровень расчетной бюджетной обеспеченности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 до распределения дотации;</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Дот</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размер дотации, необходимый для достижения i-м муниципальным районом (муниципальным округом, городским округом) уровня расчетной бюджетной обеспеченности, установленного в качестве критерия выравнивания расчетной бюджетной обеспеченности;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 xml:space="preserve">5 </w:t>
      </w:r>
      <w:proofErr w:type="spellStart"/>
      <w:r w:rsidRPr="00C15979">
        <w:rPr>
          <w:rFonts w:ascii="Times New Roman" w:hAnsi="Times New Roman" w:cs="Times New Roman"/>
          <w:sz w:val="28"/>
          <w:szCs w:val="28"/>
        </w:rPr>
        <w:t>ИБР</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индекс бюджетных расходов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Чн</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численность жителей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noProof/>
          <w:position w:val="-12"/>
          <w:sz w:val="28"/>
          <w:szCs w:val="28"/>
        </w:rPr>
        <w:drawing>
          <wp:inline distT="0" distB="0" distL="0" distR="0" wp14:anchorId="18BDD66C" wp14:editId="45D79BB1">
            <wp:extent cx="548005" cy="30988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8005" cy="309880"/>
                    </a:xfrm>
                    <a:prstGeom prst="rect">
                      <a:avLst/>
                    </a:prstGeom>
                    <a:noFill/>
                    <a:ln>
                      <a:noFill/>
                    </a:ln>
                  </pic:spPr>
                </pic:pic>
              </a:graphicData>
            </a:graphic>
          </wp:inline>
        </w:drawing>
      </w:r>
      <w:r w:rsidRPr="00C15979">
        <w:rPr>
          <w:rFonts w:ascii="Times New Roman" w:hAnsi="Times New Roman" w:cs="Times New Roman"/>
          <w:sz w:val="28"/>
          <w:szCs w:val="28"/>
        </w:rPr>
        <w:t xml:space="preserve"> - суммарный налоговый потенциал муниципальных районов </w:t>
      </w:r>
      <w:r w:rsidRPr="00C15979">
        <w:rPr>
          <w:rFonts w:ascii="Times New Roman" w:hAnsi="Times New Roman" w:cs="Times New Roman"/>
          <w:sz w:val="28"/>
          <w:szCs w:val="28"/>
        </w:rPr>
        <w:lastRenderedPageBreak/>
        <w:t>(муниципальных округов, городских округов);</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Чн</w:t>
      </w:r>
      <w:proofErr w:type="spellEnd"/>
      <w:r w:rsidRPr="00C15979">
        <w:rPr>
          <w:rFonts w:ascii="Times New Roman" w:hAnsi="Times New Roman" w:cs="Times New Roman"/>
          <w:sz w:val="28"/>
          <w:szCs w:val="28"/>
        </w:rPr>
        <w:t xml:space="preserve"> - численность жителей Ярославской области.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10. Расчетные показатели общей стоимости предоставления муниципальных услуг, оказываемых за счет средств бюджетов муниципальных районов (муниципальных округов, городских округов), определяются с использованием нормативов расходов бюджета, разработанных органами исполнительной власти Ярославской области и утвержденных Правительством Ярославской области, а также с применением иных единых методов расчета.</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Коэффициент выравнивания расчетной бюджетной обеспеченности муниципальных районов (муниципальных округов, городских округов) рассчитывается органами исполнительной власти Ярославской области и утверждается Правительством Ярославской области.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Индекс бюджетных расходов и нормативы, применяемые при определении расчетных расходов в рамках настоящей методики, используются только в целях определения межбюджетных отношений на очередной финансовый год и плановый период и не являются планируемыми или рекомендуемыми показателями для формирования и утверждения бюджетов муниципальных районов (муниципальных округов, городских округов).</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12. Дотации на выравнивание бюджетной обеспеченности муниципальных районов (муниципальных округов, городских округов) могут быть полностью или частично заменены дополнительными нормативами отчислений в бюджеты муниципальных районов (муниципальных округов, городских округов) от налога на доходы физических лиц.</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Размер дополнительного норматива отчислений от налога на доходы физических лиц (</w:t>
      </w:r>
      <w:proofErr w:type="spellStart"/>
      <w:r w:rsidRPr="00C15979">
        <w:rPr>
          <w:rFonts w:ascii="Times New Roman" w:hAnsi="Times New Roman" w:cs="Times New Roman"/>
          <w:sz w:val="28"/>
          <w:szCs w:val="28"/>
        </w:rPr>
        <w:t>Норм.НДФЛ</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определяется как отношение расчетного объема дотации к прогнозируемому в соответствии с единой методикой объему налоговых доходов от налога на доходы физических лиц, подлежащих зачислению в консолидированный бюджет Ярославской области по территории соответствующего муниципального района (муниципального округа, городского округа), умноженное на 100, по формуле: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Норм.НДФЛ</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w:t>
      </w:r>
      <w:proofErr w:type="spellStart"/>
      <w:r w:rsidRPr="00C15979">
        <w:rPr>
          <w:rFonts w:ascii="Times New Roman" w:hAnsi="Times New Roman" w:cs="Times New Roman"/>
          <w:sz w:val="28"/>
          <w:szCs w:val="28"/>
        </w:rPr>
        <w:t>Дот</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w:t>
      </w:r>
      <w:proofErr w:type="spellStart"/>
      <w:r w:rsidRPr="00C15979">
        <w:rPr>
          <w:rFonts w:ascii="Times New Roman" w:hAnsi="Times New Roman" w:cs="Times New Roman"/>
          <w:sz w:val="28"/>
          <w:szCs w:val="28"/>
        </w:rPr>
        <w:t>НДФЛ</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x 100, где:</w:t>
      </w:r>
    </w:p>
    <w:p w:rsidR="00B41C34" w:rsidRPr="00C15979" w:rsidRDefault="00B41C34" w:rsidP="00B41C34">
      <w:pPr>
        <w:pStyle w:val="ConsPlusNormal"/>
        <w:jc w:val="both"/>
        <w:rPr>
          <w:rFonts w:ascii="Times New Roman" w:hAnsi="Times New Roman" w:cs="Times New Roman"/>
          <w:sz w:val="28"/>
          <w:szCs w:val="28"/>
        </w:rPr>
      </w:pP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 xml:space="preserve">4 </w:t>
      </w:r>
      <w:proofErr w:type="spellStart"/>
      <w:r w:rsidRPr="00C15979">
        <w:rPr>
          <w:rFonts w:ascii="Times New Roman" w:hAnsi="Times New Roman" w:cs="Times New Roman"/>
          <w:sz w:val="28"/>
          <w:szCs w:val="28"/>
        </w:rPr>
        <w:t>Норм.НДФЛ</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дополнительный норматив отчислений от налога на доходы физических лиц в бюджет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 но не более 50 процентов;</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Дот</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размер дотации i-</w:t>
      </w:r>
      <w:proofErr w:type="spellStart"/>
      <w:r w:rsidRPr="00C15979">
        <w:rPr>
          <w:rFonts w:ascii="Times New Roman" w:hAnsi="Times New Roman" w:cs="Times New Roman"/>
          <w:sz w:val="28"/>
          <w:szCs w:val="28"/>
        </w:rPr>
        <w:t>му</w:t>
      </w:r>
      <w:proofErr w:type="spellEnd"/>
      <w:r w:rsidRPr="00C15979">
        <w:rPr>
          <w:rFonts w:ascii="Times New Roman" w:hAnsi="Times New Roman" w:cs="Times New Roman"/>
          <w:sz w:val="28"/>
          <w:szCs w:val="28"/>
        </w:rPr>
        <w:t xml:space="preserve"> муниципальному району (муниципальному округу, городскому округу);</w:t>
      </w:r>
    </w:p>
    <w:p w:rsidR="00B41C34" w:rsidRPr="00C15979" w:rsidRDefault="00B41C34" w:rsidP="00B41C34">
      <w:pPr>
        <w:pStyle w:val="ConsPlusNormal"/>
        <w:ind w:firstLine="540"/>
        <w:jc w:val="both"/>
        <w:rPr>
          <w:rFonts w:ascii="Times New Roman" w:hAnsi="Times New Roman" w:cs="Times New Roman"/>
          <w:sz w:val="28"/>
          <w:szCs w:val="28"/>
        </w:rPr>
      </w:pPr>
      <w:proofErr w:type="spellStart"/>
      <w:r w:rsidRPr="00C15979">
        <w:rPr>
          <w:rFonts w:ascii="Times New Roman" w:hAnsi="Times New Roman" w:cs="Times New Roman"/>
          <w:sz w:val="28"/>
          <w:szCs w:val="28"/>
        </w:rPr>
        <w:t>НДФЛ</w:t>
      </w:r>
      <w:r w:rsidRPr="00C15979">
        <w:rPr>
          <w:rFonts w:ascii="Times New Roman" w:hAnsi="Times New Roman" w:cs="Times New Roman"/>
          <w:sz w:val="28"/>
          <w:szCs w:val="28"/>
          <w:vertAlign w:val="subscript"/>
        </w:rPr>
        <w:t>i</w:t>
      </w:r>
      <w:proofErr w:type="spellEnd"/>
      <w:r w:rsidRPr="00C15979">
        <w:rPr>
          <w:rFonts w:ascii="Times New Roman" w:hAnsi="Times New Roman" w:cs="Times New Roman"/>
          <w:sz w:val="28"/>
          <w:szCs w:val="28"/>
        </w:rPr>
        <w:t xml:space="preserve"> - прогнозируемый в соответствии с единой методикой объем налоговых доходов от налога на доходы физических лиц, подлежащих зачислению в консолидированный бюджет Ярославской области по территории i-</w:t>
      </w:r>
      <w:proofErr w:type="spellStart"/>
      <w:r w:rsidRPr="00C15979">
        <w:rPr>
          <w:rFonts w:ascii="Times New Roman" w:hAnsi="Times New Roman" w:cs="Times New Roman"/>
          <w:sz w:val="28"/>
          <w:szCs w:val="28"/>
        </w:rPr>
        <w:t>го</w:t>
      </w:r>
      <w:proofErr w:type="spellEnd"/>
      <w:r w:rsidRPr="00C15979">
        <w:rPr>
          <w:rFonts w:ascii="Times New Roman" w:hAnsi="Times New Roman" w:cs="Times New Roman"/>
          <w:sz w:val="28"/>
          <w:szCs w:val="28"/>
        </w:rPr>
        <w:t xml:space="preserve"> муниципального района (муниципального округа, городского округа).</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 xml:space="preserve">13. Исходя из финансовых возможностей областного бюджета может </w:t>
      </w:r>
      <w:r w:rsidRPr="00C15979">
        <w:rPr>
          <w:rFonts w:ascii="Times New Roman" w:hAnsi="Times New Roman" w:cs="Times New Roman"/>
          <w:sz w:val="28"/>
          <w:szCs w:val="28"/>
        </w:rPr>
        <w:lastRenderedPageBreak/>
        <w:t>производиться дополнительное выравнивание бюджетной обеспеченности муниципальных районов (муниципальных округов, городских округов) следующими методами: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 методом пропорционального выравнивания - путем распределения дотаций пропорционально отставанию уровня расчетной бюджетной обеспеченности муниципальных районов (муниципальных округов, городских округов) от установленного критерия выравнивания расчетной бюджетной обеспеченности;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 методом выравнивания до максимально возможного уровня - путем распределения дотаций таким образом, чтобы после выравнивания уровень расчетной бюджетной обеспеченности наименее экономически развитых муниципальных районов (муниципальных округов, городских округов) был одинаков;</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 комбинированным методом, предполагающим последовательное использование метода пропорционального выравнивания бюджетной обеспеченности и метода выравнивания до максимально возможного уровня расчетной бюджетной обеспеченности.</w:t>
      </w:r>
    </w:p>
    <w:p w:rsidR="00B41C34" w:rsidRPr="00C15979" w:rsidRDefault="00B41C34" w:rsidP="00B41C34">
      <w:pPr>
        <w:pStyle w:val="ConsPlusNormal"/>
        <w:ind w:firstLine="540"/>
        <w:jc w:val="both"/>
        <w:rPr>
          <w:rFonts w:ascii="Times New Roman" w:hAnsi="Times New Roman" w:cs="Times New Roman"/>
          <w:sz w:val="28"/>
          <w:szCs w:val="28"/>
        </w:rPr>
      </w:pPr>
      <w:r w:rsidRPr="00C15979">
        <w:rPr>
          <w:rFonts w:ascii="Times New Roman" w:hAnsi="Times New Roman" w:cs="Times New Roman"/>
          <w:sz w:val="28"/>
          <w:szCs w:val="28"/>
        </w:rPr>
        <w:t>Метод выравнивания бюджетной обеспеченности определяется финансовым органом Ярославской области при составлении областного бюджета.</w:t>
      </w:r>
    </w:p>
    <w:p w:rsidR="0059080F" w:rsidRPr="00C15979" w:rsidRDefault="0059080F" w:rsidP="00B41C34">
      <w:pPr>
        <w:rPr>
          <w:rFonts w:ascii="Times New Roman" w:hAnsi="Times New Roman"/>
          <w:sz w:val="28"/>
          <w:szCs w:val="28"/>
        </w:rPr>
      </w:pPr>
    </w:p>
    <w:sectPr w:rsidR="0059080F" w:rsidRPr="00C15979" w:rsidSect="00C15979">
      <w:headerReference w:type="default" r:id="rId21"/>
      <w:pgSz w:w="11906" w:h="16838"/>
      <w:pgMar w:top="1440" w:right="566" w:bottom="1440" w:left="1133" w:header="709"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979" w:rsidRDefault="00C15979" w:rsidP="00C15979">
      <w:pPr>
        <w:spacing w:after="0" w:line="240" w:lineRule="auto"/>
      </w:pPr>
      <w:r>
        <w:separator/>
      </w:r>
    </w:p>
  </w:endnote>
  <w:endnote w:type="continuationSeparator" w:id="0">
    <w:p w:rsidR="00C15979" w:rsidRDefault="00C15979" w:rsidP="00C15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979" w:rsidRDefault="00C15979" w:rsidP="00C15979">
      <w:pPr>
        <w:spacing w:after="0" w:line="240" w:lineRule="auto"/>
      </w:pPr>
      <w:r>
        <w:separator/>
      </w:r>
    </w:p>
  </w:footnote>
  <w:footnote w:type="continuationSeparator" w:id="0">
    <w:p w:rsidR="00C15979" w:rsidRDefault="00C15979" w:rsidP="00C15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5737975"/>
      <w:docPartObj>
        <w:docPartGallery w:val="Page Numbers (Top of Page)"/>
        <w:docPartUnique/>
      </w:docPartObj>
    </w:sdtPr>
    <w:sdtEndPr>
      <w:rPr>
        <w:rFonts w:ascii="Times New Roman" w:hAnsi="Times New Roman"/>
        <w:sz w:val="24"/>
        <w:szCs w:val="24"/>
      </w:rPr>
    </w:sdtEndPr>
    <w:sdtContent>
      <w:p w:rsidR="00C15979" w:rsidRPr="00C15979" w:rsidRDefault="00C15979">
        <w:pPr>
          <w:pStyle w:val="a3"/>
          <w:jc w:val="center"/>
          <w:rPr>
            <w:rFonts w:ascii="Times New Roman" w:hAnsi="Times New Roman"/>
            <w:sz w:val="24"/>
            <w:szCs w:val="24"/>
          </w:rPr>
        </w:pPr>
        <w:r w:rsidRPr="00C15979">
          <w:rPr>
            <w:rFonts w:ascii="Times New Roman" w:hAnsi="Times New Roman"/>
            <w:sz w:val="24"/>
            <w:szCs w:val="24"/>
          </w:rPr>
          <w:fldChar w:fldCharType="begin"/>
        </w:r>
        <w:r w:rsidRPr="00C15979">
          <w:rPr>
            <w:rFonts w:ascii="Times New Roman" w:hAnsi="Times New Roman"/>
            <w:sz w:val="24"/>
            <w:szCs w:val="24"/>
          </w:rPr>
          <w:instrText>PAGE   \* MERGEFORMAT</w:instrText>
        </w:r>
        <w:r w:rsidRPr="00C15979">
          <w:rPr>
            <w:rFonts w:ascii="Times New Roman" w:hAnsi="Times New Roman"/>
            <w:sz w:val="24"/>
            <w:szCs w:val="24"/>
          </w:rPr>
          <w:fldChar w:fldCharType="separate"/>
        </w:r>
        <w:r w:rsidR="00816AD8">
          <w:rPr>
            <w:rFonts w:ascii="Times New Roman" w:hAnsi="Times New Roman"/>
            <w:noProof/>
            <w:sz w:val="24"/>
            <w:szCs w:val="24"/>
          </w:rPr>
          <w:t>7</w:t>
        </w:r>
        <w:r w:rsidRPr="00C15979">
          <w:rPr>
            <w:rFonts w:ascii="Times New Roman" w:hAnsi="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901"/>
    <w:rsid w:val="00085065"/>
    <w:rsid w:val="0059080F"/>
    <w:rsid w:val="00816AD8"/>
    <w:rsid w:val="009C4546"/>
    <w:rsid w:val="00B41C34"/>
    <w:rsid w:val="00C15979"/>
    <w:rsid w:val="00D45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66E92"/>
  <w15:chartTrackingRefBased/>
  <w15:docId w15:val="{7DC601E0-3225-4211-BBFA-184CE7CDB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080F"/>
    <w:pPr>
      <w:spacing w:after="200" w:line="276"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9080F"/>
    <w:pPr>
      <w:widowControl w:val="0"/>
      <w:autoSpaceDE w:val="0"/>
      <w:autoSpaceDN w:val="0"/>
      <w:adjustRightInd w:val="0"/>
      <w:spacing w:after="0" w:line="240" w:lineRule="auto"/>
    </w:pPr>
    <w:rPr>
      <w:rFonts w:ascii="Arial" w:eastAsiaTheme="minorEastAsia" w:hAnsi="Arial" w:cs="Arial"/>
      <w:sz w:val="16"/>
      <w:szCs w:val="16"/>
      <w:lang w:eastAsia="ru-RU"/>
    </w:rPr>
  </w:style>
  <w:style w:type="paragraph" w:customStyle="1" w:styleId="ConsPlusTitle">
    <w:name w:val="ConsPlusTitle"/>
    <w:uiPriority w:val="99"/>
    <w:rsid w:val="0059080F"/>
    <w:pPr>
      <w:widowControl w:val="0"/>
      <w:autoSpaceDE w:val="0"/>
      <w:autoSpaceDN w:val="0"/>
      <w:adjustRightInd w:val="0"/>
      <w:spacing w:after="0" w:line="240" w:lineRule="auto"/>
    </w:pPr>
    <w:rPr>
      <w:rFonts w:ascii="Arial" w:eastAsiaTheme="minorEastAsia" w:hAnsi="Arial" w:cs="Arial"/>
      <w:b/>
      <w:bCs/>
      <w:sz w:val="16"/>
      <w:szCs w:val="16"/>
      <w:lang w:eastAsia="ru-RU"/>
    </w:rPr>
  </w:style>
  <w:style w:type="paragraph" w:styleId="a3">
    <w:name w:val="header"/>
    <w:basedOn w:val="a"/>
    <w:link w:val="a4"/>
    <w:uiPriority w:val="99"/>
    <w:unhideWhenUsed/>
    <w:rsid w:val="00C1597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15979"/>
    <w:rPr>
      <w:rFonts w:eastAsiaTheme="minorEastAsia" w:cs="Times New Roman"/>
      <w:lang w:eastAsia="ru-RU"/>
    </w:rPr>
  </w:style>
  <w:style w:type="paragraph" w:styleId="a5">
    <w:name w:val="footer"/>
    <w:basedOn w:val="a"/>
    <w:link w:val="a6"/>
    <w:uiPriority w:val="99"/>
    <w:unhideWhenUsed/>
    <w:rsid w:val="00C1597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15979"/>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18" Type="http://schemas.openxmlformats.org/officeDocument/2006/relationships/image" Target="media/image13.wmf"/><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theme" Target="theme/theme1.xml"/><Relationship Id="rId10" Type="http://schemas.openxmlformats.org/officeDocument/2006/relationships/image" Target="media/image5.wmf"/><Relationship Id="rId19" Type="http://schemas.openxmlformats.org/officeDocument/2006/relationships/image" Target="media/image14.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2176</Words>
  <Characters>12407</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Овсянникова Евгения Владимировна</dc:creator>
  <cp:keywords/>
  <dc:description/>
  <cp:lastModifiedBy>Овсянникова Евгения Владимировна</cp:lastModifiedBy>
  <cp:revision>5</cp:revision>
  <dcterms:created xsi:type="dcterms:W3CDTF">2024-10-29T11:23:00Z</dcterms:created>
  <dcterms:modified xsi:type="dcterms:W3CDTF">2024-10-31T08:35:00Z</dcterms:modified>
</cp:coreProperties>
</file>