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6E60A7" w14:textId="77777777" w:rsidR="009A213C" w:rsidRPr="009A213C" w:rsidRDefault="009A213C" w:rsidP="00D131DD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bookmarkStart w:id="0" w:name="_GoBack"/>
      <w:bookmarkEnd w:id="0"/>
      <w:r w:rsidRPr="009A213C">
        <w:rPr>
          <w:rFonts w:cs="Times New Roman"/>
          <w:b/>
          <w:bCs/>
          <w:szCs w:val="28"/>
        </w:rPr>
        <w:t>ПАСПОРТ</w:t>
      </w:r>
    </w:p>
    <w:p w14:paraId="657B781F" w14:textId="6A40958E" w:rsidR="00D131DD" w:rsidRPr="009A213C" w:rsidRDefault="009A213C" w:rsidP="00D131DD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9A213C">
        <w:rPr>
          <w:rFonts w:cs="Times New Roman"/>
          <w:b/>
          <w:bCs/>
          <w:szCs w:val="28"/>
        </w:rPr>
        <w:t>г</w:t>
      </w:r>
      <w:r w:rsidR="00D131DD" w:rsidRPr="009A213C">
        <w:rPr>
          <w:rFonts w:cs="Times New Roman"/>
          <w:b/>
          <w:bCs/>
          <w:szCs w:val="28"/>
        </w:rPr>
        <w:t xml:space="preserve">осударственной программы </w:t>
      </w:r>
      <w:r w:rsidRPr="009A213C">
        <w:rPr>
          <w:rFonts w:cs="Times New Roman"/>
          <w:b/>
          <w:bCs/>
          <w:szCs w:val="28"/>
        </w:rPr>
        <w:t>Ярославской области</w:t>
      </w:r>
    </w:p>
    <w:p w14:paraId="4AB65276" w14:textId="3A823AAB" w:rsidR="009A213C" w:rsidRPr="009A213C" w:rsidRDefault="009A213C" w:rsidP="00D131DD">
      <w:pPr>
        <w:widowControl w:val="0"/>
        <w:ind w:firstLine="0"/>
        <w:jc w:val="center"/>
        <w:rPr>
          <w:rFonts w:cs="Times New Roman"/>
          <w:b/>
          <w:i/>
          <w:iCs/>
          <w:szCs w:val="28"/>
        </w:rPr>
      </w:pPr>
      <w:r w:rsidRPr="009A213C">
        <w:rPr>
          <w:rFonts w:cs="Times New Roman"/>
          <w:b/>
          <w:bCs/>
          <w:szCs w:val="28"/>
        </w:rPr>
        <w:t>«Создание условий для эффективного управления региональными и муниципальными финансами в Ярославской области» на 2024</w:t>
      </w:r>
      <w:r w:rsidR="00C710F2">
        <w:rPr>
          <w:rFonts w:cs="Times New Roman"/>
          <w:b/>
          <w:bCs/>
          <w:szCs w:val="28"/>
        </w:rPr>
        <w:t xml:space="preserve"> – </w:t>
      </w:r>
      <w:r w:rsidRPr="009A213C">
        <w:rPr>
          <w:rFonts w:cs="Times New Roman"/>
          <w:b/>
          <w:bCs/>
          <w:szCs w:val="28"/>
        </w:rPr>
        <w:t>2030 годы</w:t>
      </w:r>
    </w:p>
    <w:p w14:paraId="4CBC32D3" w14:textId="77777777" w:rsidR="00D131DD" w:rsidRPr="00D131DD" w:rsidRDefault="00D131DD" w:rsidP="00D131DD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</w:rPr>
      </w:pPr>
      <w:bookmarkStart w:id="1" w:name="bookmark2"/>
      <w:bookmarkStart w:id="2" w:name="bookmark3"/>
    </w:p>
    <w:p w14:paraId="6AF6A244" w14:textId="77777777" w:rsidR="00D131DD" w:rsidRPr="00D131DD" w:rsidRDefault="00D131DD" w:rsidP="00D131DD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D131DD">
        <w:rPr>
          <w:rFonts w:cs="Times New Roman"/>
          <w:bCs/>
          <w:szCs w:val="28"/>
        </w:rPr>
        <w:t>1. Основные положения</w:t>
      </w:r>
      <w:bookmarkEnd w:id="1"/>
      <w:bookmarkEnd w:id="2"/>
    </w:p>
    <w:p w14:paraId="12BBEDD6" w14:textId="77777777" w:rsidR="00D131DD" w:rsidRPr="00D131DD" w:rsidRDefault="00D131DD" w:rsidP="00D131DD">
      <w:pPr>
        <w:widowControl w:val="0"/>
        <w:tabs>
          <w:tab w:val="left" w:pos="350"/>
        </w:tabs>
        <w:ind w:firstLine="0"/>
        <w:outlineLvl w:val="1"/>
        <w:rPr>
          <w:rFonts w:cs="Times New Roman"/>
          <w:b/>
          <w:bCs/>
          <w:szCs w:val="28"/>
        </w:rPr>
      </w:pPr>
    </w:p>
    <w:tbl>
      <w:tblPr>
        <w:tblStyle w:val="100"/>
        <w:tblW w:w="0" w:type="auto"/>
        <w:tblInd w:w="108" w:type="dxa"/>
        <w:tblLook w:val="04A0" w:firstRow="1" w:lastRow="0" w:firstColumn="1" w:lastColumn="0" w:noHBand="0" w:noVBand="1"/>
      </w:tblPr>
      <w:tblGrid>
        <w:gridCol w:w="6833"/>
        <w:gridCol w:w="7619"/>
      </w:tblGrid>
      <w:tr w:rsidR="00D131DD" w:rsidRPr="00D131DD" w14:paraId="68338D59" w14:textId="77777777" w:rsidTr="007179EA">
        <w:tc>
          <w:tcPr>
            <w:tcW w:w="6833" w:type="dxa"/>
          </w:tcPr>
          <w:p w14:paraId="4E9FEA35" w14:textId="77777777" w:rsidR="00D131DD" w:rsidRPr="00D131DD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 xml:space="preserve">Куратор Государственной программы </w:t>
            </w:r>
          </w:p>
        </w:tc>
        <w:tc>
          <w:tcPr>
            <w:tcW w:w="7619" w:type="dxa"/>
          </w:tcPr>
          <w:p w14:paraId="67E8C752" w14:textId="38D802EF" w:rsidR="00D131DD" w:rsidRPr="00D131DD" w:rsidRDefault="001D1932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1D1932">
              <w:rPr>
                <w:rFonts w:cs="Times New Roman"/>
                <w:bCs/>
              </w:rPr>
              <w:t xml:space="preserve">Аминов Дмитрий Владимирович </w:t>
            </w:r>
            <w:r w:rsidR="00C710F2">
              <w:rPr>
                <w:rFonts w:cs="Times New Roman"/>
                <w:bCs/>
              </w:rPr>
              <w:t>–</w:t>
            </w:r>
            <w:r w:rsidRPr="001D1932">
              <w:rPr>
                <w:rFonts w:cs="Times New Roman"/>
                <w:bCs/>
              </w:rPr>
              <w:t xml:space="preserve"> министр экономического развития Ярославской области</w:t>
            </w:r>
          </w:p>
        </w:tc>
      </w:tr>
      <w:tr w:rsidR="00D131DD" w:rsidRPr="00D131DD" w14:paraId="10879FE2" w14:textId="77777777" w:rsidTr="007179EA">
        <w:tc>
          <w:tcPr>
            <w:tcW w:w="6833" w:type="dxa"/>
          </w:tcPr>
          <w:p w14:paraId="1CC27324" w14:textId="77777777" w:rsidR="00D131DD" w:rsidRPr="00D131DD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7619" w:type="dxa"/>
          </w:tcPr>
          <w:p w14:paraId="6AC7DD74" w14:textId="77777777" w:rsidR="00D131DD" w:rsidRPr="00D131DD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>Долгов Алексей Николаевич – министр финансов Ярославской области</w:t>
            </w:r>
          </w:p>
        </w:tc>
      </w:tr>
      <w:tr w:rsidR="00D131DD" w:rsidRPr="00D131DD" w14:paraId="079C654D" w14:textId="77777777" w:rsidTr="007179EA">
        <w:tc>
          <w:tcPr>
            <w:tcW w:w="6833" w:type="dxa"/>
            <w:tcBorders>
              <w:bottom w:val="single" w:sz="4" w:space="0" w:color="auto"/>
            </w:tcBorders>
          </w:tcPr>
          <w:p w14:paraId="3E0D546E" w14:textId="77777777" w:rsidR="00D131DD" w:rsidRPr="00D131DD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>Период реализации</w:t>
            </w:r>
            <w:r w:rsidRPr="00D131DD">
              <w:rPr>
                <w:rFonts w:ascii="Microsoft Sans Serif" w:eastAsia="Microsoft Sans Serif" w:hAnsi="Microsoft Sans Serif" w:cs="Microsoft Sans Serif"/>
                <w:b/>
                <w:sz w:val="24"/>
                <w:szCs w:val="24"/>
              </w:rPr>
              <w:t xml:space="preserve"> </w:t>
            </w:r>
            <w:r w:rsidRPr="00D131DD">
              <w:rPr>
                <w:rFonts w:cs="Times New Roman"/>
                <w:bCs/>
              </w:rPr>
              <w:t xml:space="preserve">Государственной программы </w:t>
            </w:r>
          </w:p>
        </w:tc>
        <w:tc>
          <w:tcPr>
            <w:tcW w:w="7619" w:type="dxa"/>
          </w:tcPr>
          <w:p w14:paraId="206CC3B3" w14:textId="77777777" w:rsidR="00D131DD" w:rsidRPr="00D131DD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>2024 – 2030 годы</w:t>
            </w:r>
          </w:p>
        </w:tc>
      </w:tr>
      <w:tr w:rsidR="00D131DD" w:rsidRPr="00D131DD" w14:paraId="199B6C36" w14:textId="77777777" w:rsidTr="007179EA">
        <w:trPr>
          <w:trHeight w:val="333"/>
        </w:trPr>
        <w:tc>
          <w:tcPr>
            <w:tcW w:w="6833" w:type="dxa"/>
            <w:vMerge w:val="restart"/>
          </w:tcPr>
          <w:p w14:paraId="26D1E5B4" w14:textId="5AEFB7DF" w:rsidR="00D131DD" w:rsidRPr="00C710F2" w:rsidRDefault="00D131DD" w:rsidP="00C710F2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 xml:space="preserve">Цели Государственной программы </w:t>
            </w:r>
          </w:p>
        </w:tc>
        <w:tc>
          <w:tcPr>
            <w:tcW w:w="7619" w:type="dxa"/>
          </w:tcPr>
          <w:p w14:paraId="557C38C9" w14:textId="11F4395F" w:rsidR="00D131DD" w:rsidRPr="00D131DD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>обеспечение темпа роста налоговых и неналоговых доходов областного бюджета не ниже 4 процентов в отчетном году к уровню предыдущего года в сопо</w:t>
            </w:r>
            <w:r w:rsidR="00C710F2">
              <w:rPr>
                <w:rFonts w:cs="Times New Roman"/>
                <w:bCs/>
              </w:rPr>
              <w:t>ставимых условиях до 2030 года</w:t>
            </w:r>
          </w:p>
        </w:tc>
      </w:tr>
      <w:tr w:rsidR="00D131DD" w:rsidRPr="00D131DD" w14:paraId="568409E8" w14:textId="77777777" w:rsidTr="007179EA">
        <w:trPr>
          <w:trHeight w:val="333"/>
        </w:trPr>
        <w:tc>
          <w:tcPr>
            <w:tcW w:w="6833" w:type="dxa"/>
            <w:vMerge/>
          </w:tcPr>
          <w:p w14:paraId="7A930A63" w14:textId="77777777" w:rsidR="00D131DD" w:rsidRPr="00D131DD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7619" w:type="dxa"/>
          </w:tcPr>
          <w:p w14:paraId="76026FB3" w14:textId="77777777" w:rsidR="00D131DD" w:rsidRPr="00D131DD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highlight w:val="yellow"/>
              </w:rPr>
            </w:pPr>
            <w:r w:rsidRPr="00D131DD">
              <w:rPr>
                <w:rFonts w:cs="Times New Roman"/>
                <w:bCs/>
              </w:rPr>
              <w:t xml:space="preserve">обеспечение дефицита областного бюджета на уровне не более 10 процентов объема доходов областного бюджета без учета безвозмездных поступлений к 2030 году </w:t>
            </w:r>
          </w:p>
        </w:tc>
      </w:tr>
      <w:tr w:rsidR="00D131DD" w:rsidRPr="00D131DD" w14:paraId="1AD91000" w14:textId="77777777" w:rsidTr="007179EA">
        <w:trPr>
          <w:trHeight w:val="333"/>
        </w:trPr>
        <w:tc>
          <w:tcPr>
            <w:tcW w:w="6833" w:type="dxa"/>
            <w:vMerge/>
          </w:tcPr>
          <w:p w14:paraId="227CE811" w14:textId="77777777" w:rsidR="00D131DD" w:rsidRPr="00D131DD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7619" w:type="dxa"/>
          </w:tcPr>
          <w:p w14:paraId="2CDFA566" w14:textId="77777777" w:rsidR="00D131DD" w:rsidRPr="00D131DD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highlight w:val="yellow"/>
              </w:rPr>
            </w:pPr>
            <w:r w:rsidRPr="00D131DD">
              <w:rPr>
                <w:rFonts w:cs="Times New Roman"/>
                <w:bCs/>
              </w:rPr>
              <w:t>обеспечение доли общего объема долговых обязательств по рыночным заимствованиям области и муниципальных образований Ярославской области не более 25 процентов объема доходов консолидированного бюджета без учета безвозмездных поступлений до 2030 года</w:t>
            </w:r>
          </w:p>
        </w:tc>
      </w:tr>
      <w:tr w:rsidR="00D131DD" w:rsidRPr="00D131DD" w14:paraId="6A343C87" w14:textId="77777777" w:rsidTr="007179EA">
        <w:trPr>
          <w:trHeight w:val="333"/>
        </w:trPr>
        <w:tc>
          <w:tcPr>
            <w:tcW w:w="6833" w:type="dxa"/>
            <w:vMerge/>
            <w:tcBorders>
              <w:bottom w:val="single" w:sz="4" w:space="0" w:color="auto"/>
            </w:tcBorders>
          </w:tcPr>
          <w:p w14:paraId="14479097" w14:textId="77777777" w:rsidR="00D131DD" w:rsidRPr="00D131DD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7619" w:type="dxa"/>
          </w:tcPr>
          <w:p w14:paraId="1882BA5D" w14:textId="77777777" w:rsidR="00D131DD" w:rsidRPr="00D131DD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>обеспечение доли муниципальных образований Ярославской области, соблюдающих ограничения Бюджетного кодекса Российской Федерации по размеру дефицита бюджета, на уровне 100 процентов до 2030 года</w:t>
            </w:r>
          </w:p>
        </w:tc>
      </w:tr>
      <w:tr w:rsidR="00D131DD" w:rsidRPr="00D131DD" w14:paraId="7CF20193" w14:textId="77777777" w:rsidTr="007179EA">
        <w:tc>
          <w:tcPr>
            <w:tcW w:w="6833" w:type="dxa"/>
            <w:tcBorders>
              <w:top w:val="single" w:sz="4" w:space="0" w:color="auto"/>
            </w:tcBorders>
          </w:tcPr>
          <w:p w14:paraId="7102F077" w14:textId="77777777" w:rsidR="00D131DD" w:rsidRPr="00D131DD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 xml:space="preserve">Объемы финансового обеспечения за весь период </w:t>
            </w:r>
            <w:r w:rsidRPr="00D131DD">
              <w:rPr>
                <w:rFonts w:cs="Times New Roman"/>
                <w:bCs/>
              </w:rPr>
              <w:lastRenderedPageBreak/>
              <w:t xml:space="preserve">реализации Государственной программы </w:t>
            </w:r>
          </w:p>
        </w:tc>
        <w:tc>
          <w:tcPr>
            <w:tcW w:w="7619" w:type="dxa"/>
          </w:tcPr>
          <w:p w14:paraId="18CFF4E0" w14:textId="42F53194" w:rsidR="00D131DD" w:rsidRPr="00D131DD" w:rsidRDefault="001D1932" w:rsidP="00D131DD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1D1932">
              <w:rPr>
                <w:rFonts w:cs="Times New Roman"/>
                <w:bCs/>
              </w:rPr>
              <w:lastRenderedPageBreak/>
              <w:t>28753274,6 тыс. рублей</w:t>
            </w:r>
          </w:p>
        </w:tc>
      </w:tr>
      <w:tr w:rsidR="001D1932" w:rsidRPr="00D131DD" w14:paraId="28DE7AD9" w14:textId="77777777" w:rsidTr="007179EA">
        <w:tc>
          <w:tcPr>
            <w:tcW w:w="6833" w:type="dxa"/>
            <w:vMerge w:val="restart"/>
          </w:tcPr>
          <w:p w14:paraId="6B335A30" w14:textId="77777777" w:rsidR="001D1932" w:rsidRPr="00D131DD" w:rsidRDefault="001D1932" w:rsidP="001D1932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 xml:space="preserve">Связь с национальными целями развития Российской Федерации/ государственными программами Российской Федерации </w:t>
            </w:r>
          </w:p>
        </w:tc>
        <w:tc>
          <w:tcPr>
            <w:tcW w:w="7619" w:type="dxa"/>
          </w:tcPr>
          <w:p w14:paraId="2C17D1F5" w14:textId="6191AC6C" w:rsidR="001D1932" w:rsidRPr="00D131DD" w:rsidRDefault="001D1932" w:rsidP="00C710F2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5F4E3E">
              <w:t xml:space="preserve">национальная цель </w:t>
            </w:r>
            <w:r w:rsidR="00C710F2">
              <w:t>«</w:t>
            </w:r>
            <w:r w:rsidRPr="005F4E3E">
              <w:t>Устойчивая и динамичная экономика</w:t>
            </w:r>
            <w:r w:rsidR="00C710F2">
              <w:t>»</w:t>
            </w:r>
            <w:r w:rsidRPr="005F4E3E">
              <w:t xml:space="preserve"> (показатели </w:t>
            </w:r>
            <w:r w:rsidR="00C710F2">
              <w:t>«</w:t>
            </w:r>
            <w:r w:rsidRPr="005F4E3E">
              <w:t>Обеспечение устойчивого роста доходов населения и уровня пенсионного обеспечения не ниже уровня инфляции</w:t>
            </w:r>
            <w:r w:rsidR="00C710F2">
              <w:t>»</w:t>
            </w:r>
            <w:r w:rsidRPr="005F4E3E">
              <w:t xml:space="preserve">, </w:t>
            </w:r>
            <w:r w:rsidR="00C710F2">
              <w:t>«</w:t>
            </w:r>
            <w:r w:rsidRPr="005F4E3E">
              <w:t>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  <w:r w:rsidR="00C710F2">
              <w:t>»</w:t>
            </w:r>
            <w:r w:rsidRPr="005F4E3E">
              <w:t>)</w:t>
            </w:r>
          </w:p>
        </w:tc>
      </w:tr>
      <w:tr w:rsidR="001D1932" w:rsidRPr="00D131DD" w14:paraId="49F1E8C8" w14:textId="77777777" w:rsidTr="007179EA">
        <w:tc>
          <w:tcPr>
            <w:tcW w:w="6833" w:type="dxa"/>
            <w:vMerge/>
          </w:tcPr>
          <w:p w14:paraId="7A1B9E4F" w14:textId="77777777" w:rsidR="001D1932" w:rsidRPr="00D131DD" w:rsidRDefault="001D1932" w:rsidP="001D1932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7619" w:type="dxa"/>
          </w:tcPr>
          <w:p w14:paraId="109547D8" w14:textId="4B3F253C" w:rsidR="001D1932" w:rsidRPr="00D131DD" w:rsidRDefault="001D1932" w:rsidP="00C710F2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1D1932">
              <w:rPr>
                <w:rFonts w:cs="Times New Roman"/>
                <w:bCs/>
              </w:rPr>
              <w:t xml:space="preserve">национальная цель </w:t>
            </w:r>
            <w:r w:rsidR="00C710F2">
              <w:rPr>
                <w:rFonts w:cs="Times New Roman"/>
                <w:bCs/>
              </w:rPr>
              <w:t>«</w:t>
            </w:r>
            <w:r w:rsidRPr="001D1932">
              <w:rPr>
                <w:rFonts w:cs="Times New Roman"/>
                <w:bCs/>
              </w:rPr>
              <w:t>Цифровая трансформация государственного и муниципального управления, экономики и социальной сферы</w:t>
            </w:r>
            <w:r w:rsidR="00C710F2">
              <w:rPr>
                <w:rFonts w:cs="Times New Roman"/>
                <w:bCs/>
              </w:rPr>
              <w:t>»</w:t>
            </w:r>
            <w:r w:rsidRPr="001D1932">
              <w:rPr>
                <w:rFonts w:cs="Times New Roman"/>
                <w:bCs/>
              </w:rPr>
              <w:t xml:space="preserve"> (показатель </w:t>
            </w:r>
            <w:r w:rsidR="00C710F2">
              <w:rPr>
                <w:rFonts w:cs="Times New Roman"/>
                <w:bCs/>
              </w:rPr>
              <w:t>«</w:t>
            </w:r>
            <w:r w:rsidRPr="001D1932">
              <w:rPr>
                <w:rFonts w:cs="Times New Roman"/>
                <w:bCs/>
              </w:rPr>
              <w:t xml:space="preserve">Достижение к 2030 году </w:t>
            </w:r>
            <w:r w:rsidR="00C710F2">
              <w:rPr>
                <w:rFonts w:cs="Times New Roman"/>
                <w:bCs/>
              </w:rPr>
              <w:t>«</w:t>
            </w:r>
            <w:r w:rsidRPr="001D1932">
              <w:rPr>
                <w:rFonts w:cs="Times New Roman"/>
                <w:bCs/>
              </w:rPr>
              <w:t>цифровой зрелости</w:t>
            </w:r>
            <w:r w:rsidR="00C710F2">
              <w:rPr>
                <w:rFonts w:cs="Times New Roman"/>
                <w:bCs/>
              </w:rPr>
              <w:t>»</w:t>
            </w:r>
            <w:r w:rsidRPr="001D1932">
              <w:rPr>
                <w:rFonts w:cs="Times New Roman"/>
                <w:bCs/>
              </w:rPr>
              <w:t xml:space="preserve">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  <w:r w:rsidR="00C710F2">
              <w:rPr>
                <w:rFonts w:cs="Times New Roman"/>
                <w:bCs/>
              </w:rPr>
              <w:t>»</w:t>
            </w:r>
            <w:r w:rsidRPr="001D1932">
              <w:rPr>
                <w:rFonts w:cs="Times New Roman"/>
                <w:bCs/>
              </w:rPr>
              <w:t>)</w:t>
            </w:r>
          </w:p>
        </w:tc>
      </w:tr>
      <w:tr w:rsidR="00D131DD" w:rsidRPr="00D131DD" w14:paraId="39131C5D" w14:textId="77777777" w:rsidTr="007179EA">
        <w:tc>
          <w:tcPr>
            <w:tcW w:w="6833" w:type="dxa"/>
            <w:vMerge/>
          </w:tcPr>
          <w:p w14:paraId="607C2D27" w14:textId="77777777" w:rsidR="00D131DD" w:rsidRPr="00D131DD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7619" w:type="dxa"/>
          </w:tcPr>
          <w:p w14:paraId="16DD0B9C" w14:textId="77777777" w:rsidR="00D131DD" w:rsidRPr="00D131DD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>государственная программа Российской Федерации «Развитие федеративных отношений и создание условий для эффективного и ответственного управления региональными и муниципальными финансами», утвержденная постановлением Правительства Российской Федерации от 18 мая 2016 г. № 445</w:t>
            </w:r>
          </w:p>
        </w:tc>
      </w:tr>
      <w:tr w:rsidR="00D131DD" w:rsidRPr="00D131DD" w14:paraId="007ED449" w14:textId="77777777" w:rsidTr="007179EA">
        <w:tc>
          <w:tcPr>
            <w:tcW w:w="6833" w:type="dxa"/>
            <w:vMerge/>
          </w:tcPr>
          <w:p w14:paraId="2D33FA92" w14:textId="77777777" w:rsidR="00D131DD" w:rsidRPr="00D131DD" w:rsidRDefault="00D131DD" w:rsidP="00D131DD">
            <w:pPr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</w:p>
        </w:tc>
        <w:tc>
          <w:tcPr>
            <w:tcW w:w="7619" w:type="dxa"/>
          </w:tcPr>
          <w:p w14:paraId="3E208443" w14:textId="77777777" w:rsidR="00D131DD" w:rsidRPr="00D131DD" w:rsidRDefault="00D131DD" w:rsidP="00D131DD">
            <w:pPr>
              <w:keepNext/>
              <w:keepLines/>
              <w:widowControl w:val="0"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</w:rPr>
            </w:pPr>
            <w:r w:rsidRPr="00D131DD">
              <w:rPr>
                <w:rFonts w:cs="Times New Roman"/>
                <w:bCs/>
              </w:rPr>
              <w:t>государственная программа Российской Федерации «Управление государственными финансами и регулирование финансовых рынков», утвержденная постановлением Правительства Российской Федерации от 15 апреля 2014 г. № 320</w:t>
            </w:r>
          </w:p>
        </w:tc>
      </w:tr>
    </w:tbl>
    <w:p w14:paraId="1CA2B51C" w14:textId="60202B75" w:rsidR="00D131DD" w:rsidRDefault="00D131DD" w:rsidP="00D131DD">
      <w:pPr>
        <w:widowControl w:val="0"/>
        <w:ind w:left="1560" w:firstLine="0"/>
        <w:jc w:val="center"/>
        <w:outlineLvl w:val="1"/>
        <w:rPr>
          <w:rFonts w:cs="Times New Roman"/>
          <w:bCs/>
          <w:szCs w:val="28"/>
        </w:rPr>
      </w:pPr>
      <w:bookmarkStart w:id="3" w:name="bookmark4"/>
      <w:bookmarkStart w:id="4" w:name="bookmark5"/>
    </w:p>
    <w:p w14:paraId="1BF52575" w14:textId="77777777" w:rsidR="00D131DD" w:rsidRPr="00D131DD" w:rsidRDefault="00D131DD" w:rsidP="00D131DD">
      <w:pPr>
        <w:keepNext/>
        <w:ind w:firstLine="0"/>
        <w:jc w:val="center"/>
        <w:outlineLvl w:val="1"/>
        <w:rPr>
          <w:rFonts w:cs="Times New Roman"/>
          <w:bCs/>
          <w:szCs w:val="28"/>
        </w:rPr>
      </w:pPr>
      <w:r w:rsidRPr="00D131DD">
        <w:rPr>
          <w:rFonts w:cs="Times New Roman"/>
          <w:bCs/>
          <w:szCs w:val="28"/>
        </w:rPr>
        <w:t xml:space="preserve">2. Показатели Государственной программы </w:t>
      </w:r>
    </w:p>
    <w:p w14:paraId="26AACB37" w14:textId="77777777" w:rsidR="00D131DD" w:rsidRPr="00D131DD" w:rsidRDefault="00D131DD" w:rsidP="00D131DD">
      <w:pPr>
        <w:keepNext/>
        <w:ind w:left="1559" w:firstLine="0"/>
        <w:outlineLvl w:val="1"/>
        <w:rPr>
          <w:rFonts w:cs="Times New Roman"/>
          <w:bCs/>
          <w:szCs w:val="28"/>
          <w:highlight w:val="yellow"/>
        </w:rPr>
      </w:pPr>
    </w:p>
    <w:tbl>
      <w:tblPr>
        <w:tblStyle w:val="100"/>
        <w:tblW w:w="15735" w:type="dxa"/>
        <w:tblInd w:w="-510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50"/>
        <w:gridCol w:w="993"/>
        <w:gridCol w:w="1134"/>
        <w:gridCol w:w="850"/>
        <w:gridCol w:w="708"/>
        <w:gridCol w:w="710"/>
        <w:gridCol w:w="708"/>
        <w:gridCol w:w="709"/>
        <w:gridCol w:w="709"/>
        <w:gridCol w:w="709"/>
        <w:gridCol w:w="708"/>
        <w:gridCol w:w="709"/>
        <w:gridCol w:w="851"/>
        <w:gridCol w:w="992"/>
        <w:gridCol w:w="1559"/>
        <w:gridCol w:w="992"/>
      </w:tblGrid>
      <w:tr w:rsidR="00D131DD" w:rsidRPr="00D131DD" w14:paraId="089085C5" w14:textId="77777777" w:rsidTr="007179EA"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142C6AD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79CC93D4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38501E52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Наименова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ние показа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74A8056E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Уро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вень показа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6CE53E66" w14:textId="77777777" w:rsidR="00D131DD" w:rsidRPr="00D131DD" w:rsidRDefault="00D131DD" w:rsidP="00D131DD">
            <w:pPr>
              <w:keepNext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Признак воз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растания/ убывания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197CF68" w14:textId="77777777" w:rsidR="00D131DD" w:rsidRPr="00D131DD" w:rsidRDefault="00D131DD" w:rsidP="00D131DD">
            <w:pPr>
              <w:keepNext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Единица из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мерения (по ОКЕИ*)</w:t>
            </w:r>
          </w:p>
        </w:tc>
        <w:tc>
          <w:tcPr>
            <w:tcW w:w="1558" w:type="dxa"/>
            <w:gridSpan w:val="2"/>
            <w:vMerge w:val="restart"/>
            <w:tcBorders>
              <w:bottom w:val="single" w:sz="4" w:space="0" w:color="auto"/>
            </w:tcBorders>
          </w:tcPr>
          <w:p w14:paraId="27FCA877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че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4962" w:type="dxa"/>
            <w:gridSpan w:val="7"/>
            <w:tcBorders>
              <w:bottom w:val="single" w:sz="4" w:space="0" w:color="auto"/>
            </w:tcBorders>
          </w:tcPr>
          <w:p w14:paraId="22D7B559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854E22F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 xml:space="preserve">Доку-мент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7B761085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Ответ-ствен-ный за дости-жение показа-теля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7B64AA49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Связь с показа-телями нацио-нальных целей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5FE5A8FB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Инфор-мацион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ная си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стема</w:t>
            </w:r>
          </w:p>
        </w:tc>
      </w:tr>
      <w:tr w:rsidR="00D131DD" w:rsidRPr="00D131DD" w14:paraId="1F524F30" w14:textId="77777777" w:rsidTr="007179EA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B688F37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54AF0BE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0298F8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B323CF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717B24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558" w:type="dxa"/>
            <w:gridSpan w:val="2"/>
            <w:vMerge/>
            <w:tcBorders>
              <w:top w:val="single" w:sz="4" w:space="0" w:color="auto"/>
            </w:tcBorders>
          </w:tcPr>
          <w:p w14:paraId="748DDDBB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1803DFB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D68101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531FCD65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6176C5B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BA493F5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03CD00FD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AAB9B5C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4741421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350B8F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2093110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ABEA8F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  <w:tr w:rsidR="00D131DD" w:rsidRPr="00D131DD" w14:paraId="33A6614D" w14:textId="77777777" w:rsidTr="007179EA">
        <w:trPr>
          <w:cantSplit/>
          <w:trHeight w:val="113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33B4A9BF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34E0DEE7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31D40794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2E33936E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BABB490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53AA45F" w14:textId="77777777" w:rsidR="00D131DD" w:rsidRPr="00D131DD" w:rsidRDefault="00D131DD" w:rsidP="00D131DD">
            <w:pPr>
              <w:keepNext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5C0A2DC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10" w:type="dxa"/>
            <w:vMerge/>
            <w:tcBorders>
              <w:bottom w:val="single" w:sz="4" w:space="0" w:color="auto"/>
            </w:tcBorders>
          </w:tcPr>
          <w:p w14:paraId="0A349D4E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1F836279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E658B16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8957746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90D9FAE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2AB3BB97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C30607A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76F2133D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3FD91315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05BDD324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5E59BCA1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</w:tbl>
    <w:p w14:paraId="10EFA7A2" w14:textId="77777777" w:rsidR="00D131DD" w:rsidRPr="00D131DD" w:rsidRDefault="00D131DD" w:rsidP="00D131DD">
      <w:pPr>
        <w:keepNext/>
        <w:rPr>
          <w:rFonts w:eastAsia="Calibri" w:cs="Times New Roman"/>
          <w:sz w:val="2"/>
          <w:szCs w:val="2"/>
        </w:rPr>
      </w:pPr>
    </w:p>
    <w:tbl>
      <w:tblPr>
        <w:tblStyle w:val="100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50"/>
        <w:gridCol w:w="992"/>
        <w:gridCol w:w="1135"/>
        <w:gridCol w:w="821"/>
        <w:gridCol w:w="29"/>
        <w:gridCol w:w="708"/>
        <w:gridCol w:w="709"/>
        <w:gridCol w:w="709"/>
        <w:gridCol w:w="708"/>
        <w:gridCol w:w="709"/>
        <w:gridCol w:w="709"/>
        <w:gridCol w:w="709"/>
        <w:gridCol w:w="709"/>
        <w:gridCol w:w="851"/>
        <w:gridCol w:w="992"/>
        <w:gridCol w:w="1559"/>
        <w:gridCol w:w="992"/>
      </w:tblGrid>
      <w:tr w:rsidR="00D131DD" w:rsidRPr="00D131DD" w14:paraId="7A97E778" w14:textId="77777777" w:rsidTr="001752DE">
        <w:trPr>
          <w:tblHeader/>
        </w:trPr>
        <w:tc>
          <w:tcPr>
            <w:tcW w:w="426" w:type="dxa"/>
          </w:tcPr>
          <w:p w14:paraId="54FEB177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49EB043D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80E621D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AD6D717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14:paraId="5F065E0D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</w:tcPr>
          <w:p w14:paraId="12530A9E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14:paraId="16CB0679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05C416D8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4EAD0980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5F5253B5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74622948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74D6A9E3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6A405788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416AF62A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3F728977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14:paraId="28107CC3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14:paraId="1B8F1936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14:paraId="5BC6F452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D131DD" w:rsidRPr="00D131DD" w14:paraId="4E66F2E4" w14:textId="77777777" w:rsidTr="001752DE">
        <w:tc>
          <w:tcPr>
            <w:tcW w:w="15735" w:type="dxa"/>
            <w:gridSpan w:val="19"/>
          </w:tcPr>
          <w:p w14:paraId="3097E633" w14:textId="77777777" w:rsidR="00D131DD" w:rsidRPr="00D131DD" w:rsidRDefault="00D131DD" w:rsidP="00D131DD">
            <w:pPr>
              <w:keepNext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Цель Государственной программы – обеспечение темпа роста налоговых и неналоговых доходов областного бюджета не ниже 4 процентов в отчетном году к уровню предыдущего года в сопоставимых условиях до 2030 года</w:t>
            </w:r>
          </w:p>
        </w:tc>
      </w:tr>
      <w:tr w:rsidR="00D131DD" w:rsidRPr="00D131DD" w14:paraId="7318951F" w14:textId="77777777" w:rsidTr="001752DE">
        <w:tc>
          <w:tcPr>
            <w:tcW w:w="426" w:type="dxa"/>
          </w:tcPr>
          <w:p w14:paraId="5E80EFCA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18" w:type="dxa"/>
          </w:tcPr>
          <w:p w14:paraId="137C05DB" w14:textId="77777777" w:rsidR="00D131DD" w:rsidRPr="00D131DD" w:rsidRDefault="00D131DD" w:rsidP="00D131D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D131DD">
              <w:rPr>
                <w:rFonts w:cs="Times New Roman"/>
                <w:sz w:val="20"/>
                <w:szCs w:val="20"/>
                <w:lang w:eastAsia="ru-RU"/>
              </w:rPr>
              <w:t>Темп роста налоговых и неналоговых доходов об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ластного бюджета</w:t>
            </w:r>
          </w:p>
        </w:tc>
        <w:tc>
          <w:tcPr>
            <w:tcW w:w="850" w:type="dxa"/>
          </w:tcPr>
          <w:p w14:paraId="17F96480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Госу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55912FFB" w14:textId="77777777" w:rsidR="00D131DD" w:rsidRPr="00D131DD" w:rsidRDefault="00D131DD" w:rsidP="00D131DD">
            <w:pPr>
              <w:widowControl w:val="0"/>
              <w:ind w:right="-44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возрас-тание</w:t>
            </w:r>
          </w:p>
        </w:tc>
        <w:tc>
          <w:tcPr>
            <w:tcW w:w="1135" w:type="dxa"/>
          </w:tcPr>
          <w:p w14:paraId="3DEA93D7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21" w:type="dxa"/>
          </w:tcPr>
          <w:p w14:paraId="6B3668E8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10,3</w:t>
            </w:r>
          </w:p>
        </w:tc>
        <w:tc>
          <w:tcPr>
            <w:tcW w:w="737" w:type="dxa"/>
            <w:gridSpan w:val="2"/>
          </w:tcPr>
          <w:p w14:paraId="21638944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0295A849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2659CEF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14:paraId="4F42614E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09BCE12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343D4F1F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2F113626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42571A22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14:paraId="22926B63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Госу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662E710E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59" w:type="dxa"/>
          </w:tcPr>
          <w:p w14:paraId="60C211DA" w14:textId="77777777" w:rsidR="001D1932" w:rsidRPr="001D1932" w:rsidRDefault="001D1932" w:rsidP="001D1932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1D1932">
              <w:rPr>
                <w:rFonts w:cs="Times New Roman"/>
                <w:bCs/>
                <w:sz w:val="20"/>
                <w:szCs w:val="20"/>
              </w:rPr>
              <w:t>обеспечение устойчивого роста доходов населения и уровня пенсионного обеспечения не ниже уровня инфляции;</w:t>
            </w:r>
          </w:p>
          <w:p w14:paraId="1EB419DA" w14:textId="76E7FADD" w:rsidR="00D131DD" w:rsidRPr="00D131DD" w:rsidRDefault="001D1932" w:rsidP="001D1932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1D1932">
              <w:rPr>
                <w:rFonts w:cs="Times New Roman"/>
                <w:bCs/>
                <w:sz w:val="20"/>
                <w:szCs w:val="20"/>
              </w:rPr>
              <w:t xml:space="preserve">обеспечение темпа роста валового внутреннего продукта страны выше среднемирового и выход не позднее 2030 года на четвертое место </w:t>
            </w:r>
            <w:r w:rsidRPr="001D1932">
              <w:rPr>
                <w:rFonts w:cs="Times New Roman"/>
                <w:bCs/>
                <w:sz w:val="20"/>
                <w:szCs w:val="20"/>
              </w:rPr>
              <w:lastRenderedPageBreak/>
              <w:t>в мире по объему валового внутреннего продукта, рассчитанного по паритету покупательной способности, в том числе за счет роста производитель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ности труда, при сохранении макроэкономи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92" w:type="dxa"/>
          </w:tcPr>
          <w:p w14:paraId="7E508C05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  <w:tr w:rsidR="00D131DD" w:rsidRPr="00D131DD" w14:paraId="3EC68FCE" w14:textId="77777777" w:rsidTr="001752DE">
        <w:tc>
          <w:tcPr>
            <w:tcW w:w="15735" w:type="dxa"/>
            <w:gridSpan w:val="19"/>
          </w:tcPr>
          <w:p w14:paraId="111DC977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Цель Государственной программы – обеспечение дефицита областного бюджета на уровне не более 10 процентов объема доходов областного бюджета без учета безвозмездных поступлений к 2030 году</w:t>
            </w:r>
          </w:p>
        </w:tc>
      </w:tr>
      <w:tr w:rsidR="00D131DD" w:rsidRPr="00D131DD" w14:paraId="75172DD5" w14:textId="77777777" w:rsidTr="001752DE">
        <w:tc>
          <w:tcPr>
            <w:tcW w:w="426" w:type="dxa"/>
          </w:tcPr>
          <w:p w14:paraId="6287A6CE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418" w:type="dxa"/>
          </w:tcPr>
          <w:p w14:paraId="091705EE" w14:textId="77777777" w:rsidR="00D131DD" w:rsidRPr="00D131DD" w:rsidRDefault="00D131DD" w:rsidP="00D131D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D131DD">
              <w:rPr>
                <w:rFonts w:cs="Times New Roman"/>
                <w:sz w:val="20"/>
                <w:szCs w:val="20"/>
                <w:lang w:eastAsia="ru-RU"/>
              </w:rPr>
              <w:t>Отношение дефицита об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ластного бюджета к объему дохо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дов област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ного бюджета без учета без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возмездных поступлений</w:t>
            </w:r>
          </w:p>
        </w:tc>
        <w:tc>
          <w:tcPr>
            <w:tcW w:w="850" w:type="dxa"/>
          </w:tcPr>
          <w:p w14:paraId="534B2DD0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Госу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062960CE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убыва-ние</w:t>
            </w:r>
          </w:p>
        </w:tc>
        <w:tc>
          <w:tcPr>
            <w:tcW w:w="1135" w:type="dxa"/>
          </w:tcPr>
          <w:p w14:paraId="7C7362F3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21" w:type="dxa"/>
          </w:tcPr>
          <w:p w14:paraId="71A7F33E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2,3</w:t>
            </w:r>
          </w:p>
        </w:tc>
        <w:tc>
          <w:tcPr>
            <w:tcW w:w="737" w:type="dxa"/>
            <w:gridSpan w:val="2"/>
          </w:tcPr>
          <w:p w14:paraId="532B922D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49939D8A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3F0FA521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8" w:type="dxa"/>
          </w:tcPr>
          <w:p w14:paraId="563EAF57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3DD979F7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5B28DF02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4A00273E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02EE555C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14:paraId="0C4D6A1D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Госу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10EC9D27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59" w:type="dxa"/>
          </w:tcPr>
          <w:p w14:paraId="1FA71223" w14:textId="77777777" w:rsidR="001D1932" w:rsidRPr="001D1932" w:rsidRDefault="001D1932" w:rsidP="001D1932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1D1932">
              <w:rPr>
                <w:rFonts w:cs="Times New Roman"/>
                <w:bCs/>
                <w:sz w:val="20"/>
                <w:szCs w:val="20"/>
              </w:rPr>
              <w:t>обеспечение устойчивого роста доходов населения и уровня пенсионного обеспечения не ниже уровня инфляции;</w:t>
            </w:r>
          </w:p>
          <w:p w14:paraId="605597A1" w14:textId="541F1CCB" w:rsidR="00D131DD" w:rsidRPr="00D131DD" w:rsidRDefault="001D1932" w:rsidP="001D1932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1D1932">
              <w:rPr>
                <w:rFonts w:cs="Times New Roman"/>
                <w:bCs/>
                <w:sz w:val="20"/>
                <w:szCs w:val="20"/>
              </w:rPr>
              <w:t xml:space="preserve">обеспечение темпа роста валового внутреннего продукта страны выше </w:t>
            </w:r>
            <w:r w:rsidRPr="001D1932">
              <w:rPr>
                <w:rFonts w:cs="Times New Roman"/>
                <w:bCs/>
                <w:sz w:val="20"/>
                <w:szCs w:val="20"/>
              </w:rPr>
              <w:lastRenderedPageBreak/>
              <w:t>среднемирового 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ности труда, при сохранении макроэкономи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92" w:type="dxa"/>
          </w:tcPr>
          <w:p w14:paraId="4EA6EE77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  <w:r w:rsidRPr="00D131DD">
              <w:rPr>
                <w:rFonts w:cs="Times New Roman"/>
                <w:bCs/>
                <w:sz w:val="22"/>
              </w:rPr>
              <w:lastRenderedPageBreak/>
              <w:t>-</w:t>
            </w:r>
          </w:p>
        </w:tc>
      </w:tr>
      <w:tr w:rsidR="00D131DD" w:rsidRPr="00D131DD" w14:paraId="43FB574A" w14:textId="77777777" w:rsidTr="001752DE">
        <w:tc>
          <w:tcPr>
            <w:tcW w:w="15735" w:type="dxa"/>
            <w:gridSpan w:val="19"/>
          </w:tcPr>
          <w:p w14:paraId="15464615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Цель Государственной программы – обеспечение доли общего объема долговых обязательств по рыночным заимствованиям области и муниципальных образований Ярославской области не более 25 процентов объема доходов консолидированного бюджета без учета безвозмездных поступлений до 2030 года</w:t>
            </w:r>
          </w:p>
        </w:tc>
      </w:tr>
      <w:tr w:rsidR="00D131DD" w:rsidRPr="00D131DD" w14:paraId="6B650C4A" w14:textId="77777777" w:rsidTr="001752DE">
        <w:tc>
          <w:tcPr>
            <w:tcW w:w="426" w:type="dxa"/>
          </w:tcPr>
          <w:p w14:paraId="1C508C8C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418" w:type="dxa"/>
          </w:tcPr>
          <w:p w14:paraId="592CA874" w14:textId="77777777" w:rsidR="00D131DD" w:rsidRPr="00D131DD" w:rsidRDefault="00D131DD" w:rsidP="00D131D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D131DD">
              <w:rPr>
                <w:rFonts w:cs="Times New Roman"/>
                <w:sz w:val="20"/>
                <w:szCs w:val="20"/>
                <w:lang w:eastAsia="ru-RU"/>
              </w:rPr>
              <w:t>Отношение общего объ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ема долговых обязательств по рыночным заимствова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ниям обла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сти и муни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 xml:space="preserve">ципальных образований 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lastRenderedPageBreak/>
              <w:t>Ярославской области к объему до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ходов кон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солидирован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ного бюджета без учета без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возмездных поступлений</w:t>
            </w:r>
          </w:p>
        </w:tc>
        <w:tc>
          <w:tcPr>
            <w:tcW w:w="850" w:type="dxa"/>
          </w:tcPr>
          <w:p w14:paraId="214762ED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4AAAF072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убыва-ние</w:t>
            </w:r>
          </w:p>
        </w:tc>
        <w:tc>
          <w:tcPr>
            <w:tcW w:w="1135" w:type="dxa"/>
          </w:tcPr>
          <w:p w14:paraId="1AD710CB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21" w:type="dxa"/>
            <w:shd w:val="clear" w:color="auto" w:fill="auto"/>
          </w:tcPr>
          <w:p w14:paraId="47AC0B3F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12,6</w:t>
            </w:r>
          </w:p>
        </w:tc>
        <w:tc>
          <w:tcPr>
            <w:tcW w:w="737" w:type="dxa"/>
            <w:gridSpan w:val="2"/>
          </w:tcPr>
          <w:p w14:paraId="2E383F03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3ED628BC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38E59B8C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8" w:type="dxa"/>
          </w:tcPr>
          <w:p w14:paraId="5B8D2F3C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525A07C8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62E96E94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30440553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</w:tcPr>
          <w:p w14:paraId="3C8D07A9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25</w:t>
            </w:r>
          </w:p>
        </w:tc>
        <w:tc>
          <w:tcPr>
            <w:tcW w:w="851" w:type="dxa"/>
          </w:tcPr>
          <w:p w14:paraId="096BB551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Госу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 xml:space="preserve">грамма </w:t>
            </w:r>
          </w:p>
        </w:tc>
        <w:tc>
          <w:tcPr>
            <w:tcW w:w="992" w:type="dxa"/>
          </w:tcPr>
          <w:p w14:paraId="04178C84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59" w:type="dxa"/>
          </w:tcPr>
          <w:p w14:paraId="16765E40" w14:textId="3E6B7134" w:rsidR="00D131DD" w:rsidRPr="00D131DD" w:rsidRDefault="001D1932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1D1932">
              <w:rPr>
                <w:rFonts w:cs="Times New Roman"/>
                <w:bCs/>
                <w:sz w:val="20"/>
                <w:szCs w:val="20"/>
              </w:rPr>
              <w:t xml:space="preserve">обеспечение темпа роста валового внутреннего продукта страны выше среднемирового и выход не позднее 2030 года на </w:t>
            </w:r>
            <w:r w:rsidRPr="001D1932">
              <w:rPr>
                <w:rFonts w:cs="Times New Roman"/>
                <w:bCs/>
                <w:sz w:val="20"/>
                <w:szCs w:val="20"/>
              </w:rPr>
              <w:lastRenderedPageBreak/>
              <w:t>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ности труда, при сохранении макроэкономи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92" w:type="dxa"/>
          </w:tcPr>
          <w:p w14:paraId="560A7CDD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  <w:tr w:rsidR="00D131DD" w:rsidRPr="00D131DD" w14:paraId="28405633" w14:textId="77777777" w:rsidTr="001752DE">
        <w:tc>
          <w:tcPr>
            <w:tcW w:w="15735" w:type="dxa"/>
            <w:gridSpan w:val="19"/>
          </w:tcPr>
          <w:p w14:paraId="1E956334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 xml:space="preserve">Цель Государственной программы – сохранение доли муниципальных образований Ярославской области, соблюдающих ограничения </w:t>
            </w:r>
          </w:p>
          <w:p w14:paraId="640B8027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Бюджетного кодекса Российской Федерации по размеру дефицита бюджета, на уровне 100 процентов до 2030 года</w:t>
            </w:r>
          </w:p>
        </w:tc>
      </w:tr>
      <w:tr w:rsidR="00D131DD" w:rsidRPr="00D131DD" w14:paraId="1BD10E4A" w14:textId="77777777" w:rsidTr="001752DE">
        <w:tc>
          <w:tcPr>
            <w:tcW w:w="426" w:type="dxa"/>
          </w:tcPr>
          <w:p w14:paraId="4737A9EF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418" w:type="dxa"/>
          </w:tcPr>
          <w:p w14:paraId="3D7F13A3" w14:textId="77777777" w:rsidR="00D131DD" w:rsidRPr="00D131DD" w:rsidRDefault="00D131DD" w:rsidP="00D131DD">
            <w:pPr>
              <w:spacing w:line="180" w:lineRule="atLeast"/>
              <w:ind w:firstLine="0"/>
              <w:rPr>
                <w:rFonts w:cs="Times New Roman"/>
                <w:sz w:val="20"/>
                <w:szCs w:val="20"/>
                <w:lang w:eastAsia="ru-RU"/>
              </w:rPr>
            </w:pPr>
            <w:r w:rsidRPr="00D131DD">
              <w:rPr>
                <w:rFonts w:cs="Times New Roman"/>
                <w:sz w:val="20"/>
                <w:szCs w:val="20"/>
                <w:lang w:eastAsia="ru-RU"/>
              </w:rPr>
              <w:t>Доля муници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пальных об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разований Ярославской области , соблюдаю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щих ограни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чения Бюд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жетного ко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декса Россий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ской Федера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ции по раз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меру дефи</w:t>
            </w:r>
            <w:r w:rsidRPr="00D131DD">
              <w:rPr>
                <w:rFonts w:cs="Times New Roman"/>
                <w:sz w:val="20"/>
                <w:szCs w:val="20"/>
                <w:lang w:eastAsia="ru-RU"/>
              </w:rPr>
              <w:softHyphen/>
              <w:t>цита бюджета</w:t>
            </w:r>
          </w:p>
        </w:tc>
        <w:tc>
          <w:tcPr>
            <w:tcW w:w="850" w:type="dxa"/>
          </w:tcPr>
          <w:p w14:paraId="4F211793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Госу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</w:tcPr>
          <w:p w14:paraId="4392478E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возрас-тание</w:t>
            </w:r>
          </w:p>
        </w:tc>
        <w:tc>
          <w:tcPr>
            <w:tcW w:w="1135" w:type="dxa"/>
          </w:tcPr>
          <w:p w14:paraId="5DCFF4AA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процентов</w:t>
            </w:r>
          </w:p>
        </w:tc>
        <w:tc>
          <w:tcPr>
            <w:tcW w:w="821" w:type="dxa"/>
          </w:tcPr>
          <w:p w14:paraId="0DEA150C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37" w:type="dxa"/>
            <w:gridSpan w:val="2"/>
          </w:tcPr>
          <w:p w14:paraId="6836276D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0093780A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3470B947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14:paraId="6380A19F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8C54B61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23E9BF14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595418E3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14:paraId="0A4BA644" w14:textId="77777777" w:rsidR="00D131DD" w:rsidRPr="00D131DD" w:rsidRDefault="00D131DD" w:rsidP="00D131DD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14:paraId="13364477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Госу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дар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ствен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>ная про</w:t>
            </w:r>
            <w:r w:rsidRPr="00D131DD">
              <w:rPr>
                <w:rFonts w:cs="Times New Roman"/>
                <w:bCs/>
                <w:sz w:val="20"/>
                <w:szCs w:val="20"/>
              </w:rPr>
              <w:softHyphen/>
              <w:t xml:space="preserve">грамма </w:t>
            </w:r>
          </w:p>
        </w:tc>
        <w:tc>
          <w:tcPr>
            <w:tcW w:w="992" w:type="dxa"/>
          </w:tcPr>
          <w:p w14:paraId="23ED40D4" w14:textId="77777777" w:rsidR="00D131DD" w:rsidRPr="00D131DD" w:rsidRDefault="00D131DD" w:rsidP="00D131DD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D131DD">
              <w:rPr>
                <w:rFonts w:cs="Times New Roman"/>
                <w:bCs/>
                <w:sz w:val="20"/>
                <w:szCs w:val="20"/>
              </w:rPr>
              <w:t>МФ ЯО</w:t>
            </w:r>
          </w:p>
        </w:tc>
        <w:tc>
          <w:tcPr>
            <w:tcW w:w="1559" w:type="dxa"/>
          </w:tcPr>
          <w:p w14:paraId="5FDCD650" w14:textId="3EABD53C" w:rsidR="00D131DD" w:rsidRPr="00D131DD" w:rsidRDefault="001D1932" w:rsidP="001752DE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1D1932">
              <w:rPr>
                <w:rFonts w:cs="Times New Roman"/>
                <w:bCs/>
                <w:sz w:val="20"/>
                <w:szCs w:val="20"/>
              </w:rPr>
              <w:t xml:space="preserve">обеспечение темпа роста валового внутреннего продукта страны выше среднемирового и выход не позднее 2030 года на четвертое место в мире по объему валового </w:t>
            </w:r>
            <w:r w:rsidRPr="001D1932">
              <w:rPr>
                <w:rFonts w:cs="Times New Roman"/>
                <w:bCs/>
                <w:sz w:val="20"/>
                <w:szCs w:val="20"/>
              </w:rPr>
              <w:lastRenderedPageBreak/>
              <w:t>внутреннего продукта, рассчитанного по паритету покупательной способности, в том числе за счет роста производитель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ности труда, при сохранении макроэкономи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 xml:space="preserve">ческой стабильности, низкого уровня безработицы и снижении уровня структурной безработицы, достижение к 2030 году </w:t>
            </w:r>
            <w:r w:rsidR="001752DE">
              <w:rPr>
                <w:rFonts w:cs="Times New Roman"/>
                <w:bCs/>
                <w:sz w:val="20"/>
                <w:szCs w:val="20"/>
              </w:rPr>
              <w:t>«</w:t>
            </w:r>
            <w:r w:rsidRPr="001D1932">
              <w:rPr>
                <w:rFonts w:cs="Times New Roman"/>
                <w:bCs/>
                <w:sz w:val="20"/>
                <w:szCs w:val="20"/>
              </w:rPr>
              <w:t>цифровой зрелости</w:t>
            </w:r>
            <w:r w:rsidR="001752DE">
              <w:rPr>
                <w:rFonts w:cs="Times New Roman"/>
                <w:bCs/>
                <w:sz w:val="20"/>
                <w:szCs w:val="20"/>
              </w:rPr>
              <w:t>»</w:t>
            </w:r>
            <w:r w:rsidRPr="001D1932">
              <w:rPr>
                <w:rFonts w:cs="Times New Roman"/>
                <w:bCs/>
                <w:sz w:val="20"/>
                <w:szCs w:val="20"/>
              </w:rPr>
              <w:t xml:space="preserve"> государствен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ного и муниципаль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ного управления, ключевых отраслей экономики и социальной сферы, в том числе здравоохране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>ния и образования, предполагаю</w:t>
            </w:r>
            <w:r w:rsidR="001752DE">
              <w:rPr>
                <w:rFonts w:cs="Times New Roman"/>
                <w:bCs/>
                <w:sz w:val="20"/>
                <w:szCs w:val="20"/>
              </w:rPr>
              <w:t>-</w:t>
            </w:r>
            <w:r w:rsidRPr="001D1932">
              <w:rPr>
                <w:rFonts w:cs="Times New Roman"/>
                <w:bCs/>
                <w:sz w:val="20"/>
                <w:szCs w:val="20"/>
              </w:rPr>
              <w:t xml:space="preserve">щей </w:t>
            </w:r>
            <w:r w:rsidRPr="001D1932">
              <w:rPr>
                <w:rFonts w:cs="Times New Roman"/>
                <w:bCs/>
                <w:sz w:val="20"/>
                <w:szCs w:val="20"/>
              </w:rPr>
              <w:lastRenderedPageBreak/>
              <w:t>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</w:t>
            </w:r>
          </w:p>
        </w:tc>
        <w:tc>
          <w:tcPr>
            <w:tcW w:w="992" w:type="dxa"/>
          </w:tcPr>
          <w:p w14:paraId="361697F9" w14:textId="77777777" w:rsidR="00D131DD" w:rsidRPr="00D131DD" w:rsidRDefault="00D131DD" w:rsidP="00D131DD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2"/>
              </w:rPr>
            </w:pPr>
          </w:p>
        </w:tc>
      </w:tr>
    </w:tbl>
    <w:p w14:paraId="3E1DF6C3" w14:textId="77777777" w:rsidR="00D131DD" w:rsidRPr="00D131DD" w:rsidRDefault="00D131DD" w:rsidP="00D131DD">
      <w:pPr>
        <w:widowControl w:val="0"/>
        <w:ind w:firstLine="0"/>
        <w:outlineLvl w:val="1"/>
        <w:rPr>
          <w:rFonts w:cs="Times New Roman"/>
          <w:bCs/>
          <w:szCs w:val="28"/>
          <w:highlight w:val="yellow"/>
        </w:rPr>
      </w:pPr>
    </w:p>
    <w:bookmarkEnd w:id="3"/>
    <w:bookmarkEnd w:id="4"/>
    <w:p w14:paraId="1E90746D" w14:textId="77777777" w:rsidR="00D131DD" w:rsidRPr="00D131DD" w:rsidRDefault="00D131DD" w:rsidP="00D131DD">
      <w:pPr>
        <w:widowControl w:val="0"/>
        <w:outlineLvl w:val="1"/>
        <w:rPr>
          <w:rFonts w:cs="Times New Roman"/>
          <w:bCs/>
          <w:szCs w:val="28"/>
        </w:rPr>
      </w:pPr>
      <w:r w:rsidRPr="00D131DD">
        <w:rPr>
          <w:rFonts w:cs="Times New Roman"/>
          <w:bCs/>
          <w:szCs w:val="28"/>
        </w:rPr>
        <w:t>* Общероссийский классификатор единиц измерения.</w:t>
      </w:r>
    </w:p>
    <w:p w14:paraId="26CF4E6B" w14:textId="4B92934A" w:rsidR="00D131DD" w:rsidRDefault="00D131DD" w:rsidP="00D131DD">
      <w:pPr>
        <w:widowControl w:val="0"/>
        <w:outlineLvl w:val="1"/>
        <w:rPr>
          <w:rFonts w:cs="Times New Roman"/>
          <w:bCs/>
          <w:szCs w:val="28"/>
        </w:rPr>
      </w:pPr>
    </w:p>
    <w:p w14:paraId="7A002A05" w14:textId="77777777" w:rsidR="00D131DD" w:rsidRPr="00D131DD" w:rsidRDefault="00D131DD" w:rsidP="00D131DD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D131DD">
        <w:rPr>
          <w:rFonts w:cs="Times New Roman"/>
          <w:bCs/>
          <w:szCs w:val="28"/>
        </w:rPr>
        <w:t xml:space="preserve">3. Структура Государственной программы </w:t>
      </w:r>
    </w:p>
    <w:p w14:paraId="73590922" w14:textId="77777777" w:rsidR="00D131DD" w:rsidRPr="00D131DD" w:rsidRDefault="00D131DD" w:rsidP="00D131DD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100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D131DD" w:rsidRPr="00D131DD" w14:paraId="7D1570C6" w14:textId="77777777" w:rsidTr="007179EA">
        <w:tc>
          <w:tcPr>
            <w:tcW w:w="992" w:type="dxa"/>
          </w:tcPr>
          <w:p w14:paraId="39C05F34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 xml:space="preserve">№ </w:t>
            </w:r>
          </w:p>
          <w:p w14:paraId="24111F7D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939" w:type="dxa"/>
          </w:tcPr>
          <w:p w14:paraId="3FF1D0D5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3AE54DBA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09E3A3F4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Связь с показателями</w:t>
            </w:r>
          </w:p>
        </w:tc>
      </w:tr>
    </w:tbl>
    <w:p w14:paraId="3A94516B" w14:textId="77777777" w:rsidR="00D131DD" w:rsidRPr="00D131DD" w:rsidRDefault="00D131DD" w:rsidP="00D131DD">
      <w:pPr>
        <w:keepNext/>
        <w:rPr>
          <w:rFonts w:eastAsia="Calibri" w:cs="Times New Roman"/>
          <w:sz w:val="2"/>
          <w:szCs w:val="2"/>
        </w:rPr>
      </w:pPr>
    </w:p>
    <w:tbl>
      <w:tblPr>
        <w:tblStyle w:val="100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D131DD" w:rsidRPr="00D131DD" w14:paraId="5C5AD8DC" w14:textId="77777777" w:rsidTr="007179EA">
        <w:trPr>
          <w:tblHeader/>
        </w:trPr>
        <w:tc>
          <w:tcPr>
            <w:tcW w:w="992" w:type="dxa"/>
          </w:tcPr>
          <w:p w14:paraId="67044884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39" w:type="dxa"/>
          </w:tcPr>
          <w:p w14:paraId="2A5ED735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58" w:type="dxa"/>
          </w:tcPr>
          <w:p w14:paraId="1372CB46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20" w:type="dxa"/>
          </w:tcPr>
          <w:p w14:paraId="35ECE6B1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4</w:t>
            </w:r>
          </w:p>
        </w:tc>
      </w:tr>
      <w:tr w:rsidR="00D131DD" w:rsidRPr="00D131DD" w14:paraId="05C8A232" w14:textId="77777777" w:rsidTr="007179EA">
        <w:tc>
          <w:tcPr>
            <w:tcW w:w="14709" w:type="dxa"/>
            <w:gridSpan w:val="4"/>
          </w:tcPr>
          <w:p w14:paraId="243E517B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1. Ведомственный проект «Повышение финансовой грамотности в Ярославской области» (куратор – Долгов Алексей Николаевич)</w:t>
            </w:r>
          </w:p>
        </w:tc>
      </w:tr>
      <w:tr w:rsidR="00D131DD" w:rsidRPr="00D131DD" w14:paraId="6FE33DD7" w14:textId="77777777" w:rsidTr="007179EA">
        <w:tc>
          <w:tcPr>
            <w:tcW w:w="992" w:type="dxa"/>
          </w:tcPr>
          <w:p w14:paraId="7D0308B7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7872494A" w14:textId="77777777" w:rsidR="00D131DD" w:rsidRPr="00D131DD" w:rsidRDefault="00D131DD" w:rsidP="00D131DD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Ответственный за реализацию – МФ ЯО</w:t>
            </w:r>
          </w:p>
        </w:tc>
        <w:tc>
          <w:tcPr>
            <w:tcW w:w="7778" w:type="dxa"/>
            <w:gridSpan w:val="2"/>
          </w:tcPr>
          <w:p w14:paraId="5372A2FA" w14:textId="4F8B57E1" w:rsidR="00D131DD" w:rsidRPr="00D131DD" w:rsidRDefault="001D1932" w:rsidP="00D131DD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срок реализации – 2024 год</w:t>
            </w:r>
          </w:p>
        </w:tc>
      </w:tr>
      <w:tr w:rsidR="00D131DD" w:rsidRPr="00D131DD" w14:paraId="0265E168" w14:textId="77777777" w:rsidTr="007179EA">
        <w:tc>
          <w:tcPr>
            <w:tcW w:w="992" w:type="dxa"/>
          </w:tcPr>
          <w:p w14:paraId="7BC845F5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4D30B493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 xml:space="preserve">Создание условий для повышения финансовой грамотности и формирования финансовой культуры населения в Ярославской области </w:t>
            </w:r>
          </w:p>
        </w:tc>
        <w:tc>
          <w:tcPr>
            <w:tcW w:w="4158" w:type="dxa"/>
          </w:tcPr>
          <w:p w14:paraId="608C4CE2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 xml:space="preserve">проведены просветительские мероприятия в области финансовой, налоговой и бюджетной грамотности </w:t>
            </w:r>
            <w:r w:rsidRPr="00D131DD">
              <w:rPr>
                <w:rFonts w:cs="Times New Roman"/>
                <w:bCs/>
                <w:sz w:val="24"/>
                <w:szCs w:val="24"/>
              </w:rPr>
              <w:lastRenderedPageBreak/>
              <w:t>для населения Ярославской области</w:t>
            </w:r>
          </w:p>
        </w:tc>
        <w:tc>
          <w:tcPr>
            <w:tcW w:w="3620" w:type="dxa"/>
          </w:tcPr>
          <w:p w14:paraId="016E6002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lastRenderedPageBreak/>
              <w:t>темп роста налоговых и неналоговых доходов областного бюджета</w:t>
            </w:r>
          </w:p>
        </w:tc>
      </w:tr>
      <w:tr w:rsidR="00D131DD" w:rsidRPr="00D131DD" w14:paraId="6AAD6501" w14:textId="77777777" w:rsidTr="007179EA">
        <w:tc>
          <w:tcPr>
            <w:tcW w:w="14709" w:type="dxa"/>
            <w:gridSpan w:val="4"/>
          </w:tcPr>
          <w:p w14:paraId="1984FA7F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 xml:space="preserve">2. Комплекс процессных мероприятий «Обеспечение бюджетного процесса и формирования бюджетной отчетности </w:t>
            </w:r>
          </w:p>
          <w:p w14:paraId="1D8AA374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в Ярославской области»</w:t>
            </w:r>
          </w:p>
        </w:tc>
      </w:tr>
      <w:tr w:rsidR="00D131DD" w:rsidRPr="00D131DD" w14:paraId="4908793E" w14:textId="77777777" w:rsidTr="007179EA">
        <w:tc>
          <w:tcPr>
            <w:tcW w:w="992" w:type="dxa"/>
          </w:tcPr>
          <w:p w14:paraId="1908C0FA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7FDFFE60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Ответственный за реализацию – МФ ЯО</w:t>
            </w:r>
          </w:p>
        </w:tc>
        <w:tc>
          <w:tcPr>
            <w:tcW w:w="7778" w:type="dxa"/>
            <w:gridSpan w:val="2"/>
          </w:tcPr>
          <w:p w14:paraId="4F2E949F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D131DD" w:rsidRPr="00D131DD" w14:paraId="5704E108" w14:textId="77777777" w:rsidTr="007179EA">
        <w:tc>
          <w:tcPr>
            <w:tcW w:w="992" w:type="dxa"/>
          </w:tcPr>
          <w:p w14:paraId="6520256D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939" w:type="dxa"/>
          </w:tcPr>
          <w:p w14:paraId="1D48A1A3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4158" w:type="dxa"/>
          </w:tcPr>
          <w:p w14:paraId="066DB84B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автоматизация бюджетного процесса, бесперебойная работа информационных систем, высокий уровень компетенций муниципальных образований Ярославской области при работе в информационных системах</w:t>
            </w:r>
          </w:p>
        </w:tc>
        <w:tc>
          <w:tcPr>
            <w:tcW w:w="3620" w:type="dxa"/>
          </w:tcPr>
          <w:p w14:paraId="3A43D310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</w:t>
            </w:r>
          </w:p>
        </w:tc>
      </w:tr>
      <w:tr w:rsidR="00D131DD" w:rsidRPr="00D131DD" w14:paraId="7CD487A0" w14:textId="77777777" w:rsidTr="007179EA">
        <w:tc>
          <w:tcPr>
            <w:tcW w:w="992" w:type="dxa"/>
          </w:tcPr>
          <w:p w14:paraId="7139D009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939" w:type="dxa"/>
          </w:tcPr>
          <w:p w14:paraId="51EEEB32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4158" w:type="dxa"/>
          </w:tcPr>
          <w:p w14:paraId="55C1B5A7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отсутствие нарушений при ведении бюджетного (бухгалтерского) учета и составлении бюджетной (бухгалтерской) отчетности по итогам проверок контрольных органов</w:t>
            </w:r>
          </w:p>
        </w:tc>
        <w:tc>
          <w:tcPr>
            <w:tcW w:w="3620" w:type="dxa"/>
          </w:tcPr>
          <w:p w14:paraId="0362B55E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</w:t>
            </w:r>
          </w:p>
        </w:tc>
      </w:tr>
      <w:tr w:rsidR="00D131DD" w:rsidRPr="00D131DD" w14:paraId="156CF8E0" w14:textId="77777777" w:rsidTr="007179EA">
        <w:tc>
          <w:tcPr>
            <w:tcW w:w="14709" w:type="dxa"/>
            <w:gridSpan w:val="4"/>
          </w:tcPr>
          <w:p w14:paraId="0063F2F9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3. Комплекс процессных мероприятий «Выравнивание уровня бюджетной обеспеченности муниципальных образований Ярославской области и обеспечение сбалансированности местных бюджетов»</w:t>
            </w:r>
          </w:p>
        </w:tc>
      </w:tr>
      <w:tr w:rsidR="00D131DD" w:rsidRPr="00D131DD" w14:paraId="70565C3E" w14:textId="77777777" w:rsidTr="007179EA">
        <w:tc>
          <w:tcPr>
            <w:tcW w:w="992" w:type="dxa"/>
          </w:tcPr>
          <w:p w14:paraId="1094689F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287E42EF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Ответственный за реализацию – МФ ЯО</w:t>
            </w:r>
          </w:p>
        </w:tc>
        <w:tc>
          <w:tcPr>
            <w:tcW w:w="7778" w:type="dxa"/>
            <w:gridSpan w:val="2"/>
          </w:tcPr>
          <w:p w14:paraId="0EDA8614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D131DD" w:rsidRPr="00D131DD" w14:paraId="24B5D189" w14:textId="77777777" w:rsidTr="007179EA">
        <w:tc>
          <w:tcPr>
            <w:tcW w:w="992" w:type="dxa"/>
          </w:tcPr>
          <w:p w14:paraId="3C1DB275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5A53F69D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4158" w:type="dxa"/>
          </w:tcPr>
          <w:p w14:paraId="6228C325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осуществление муниципальными образованиями Ярославской области полномочий по решению вопросов местного значения, сбалансированное исполнение местных бюджетов</w:t>
            </w:r>
          </w:p>
        </w:tc>
        <w:tc>
          <w:tcPr>
            <w:tcW w:w="3620" w:type="dxa"/>
          </w:tcPr>
          <w:p w14:paraId="50D341AD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доля муниципальных образований Ярославской области, соблюдающих ограничения Бюджетного кодекса Российской Федерации по размеру дефицита бюджета;</w:t>
            </w:r>
          </w:p>
          <w:p w14:paraId="538B5E84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доля общего объема долговых обязательств по рыночным заимствованиям в объеме доходов консолидированного бюджета Ярославской области без учета безвозмездных поступлений</w:t>
            </w:r>
          </w:p>
        </w:tc>
      </w:tr>
      <w:tr w:rsidR="00D131DD" w:rsidRPr="00D131DD" w14:paraId="6446100B" w14:textId="77777777" w:rsidTr="007179EA">
        <w:tc>
          <w:tcPr>
            <w:tcW w:w="14709" w:type="dxa"/>
            <w:gridSpan w:val="4"/>
          </w:tcPr>
          <w:p w14:paraId="6E34379A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4. Комплекс процессных мероприятий «Управление государственным долгом Ярославской области»</w:t>
            </w:r>
          </w:p>
        </w:tc>
      </w:tr>
      <w:tr w:rsidR="00D131DD" w:rsidRPr="00D131DD" w14:paraId="08355F5B" w14:textId="77777777" w:rsidTr="007179EA">
        <w:tc>
          <w:tcPr>
            <w:tcW w:w="992" w:type="dxa"/>
          </w:tcPr>
          <w:p w14:paraId="6EE274FF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00AF5646" w14:textId="73B1B331" w:rsidR="00D131DD" w:rsidRPr="00D131DD" w:rsidRDefault="001752DE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Ответственный за реализацию –</w:t>
            </w:r>
            <w:r w:rsidR="00D131DD" w:rsidRPr="00D131DD">
              <w:rPr>
                <w:rFonts w:cs="Times New Roman"/>
                <w:bCs/>
                <w:sz w:val="24"/>
                <w:szCs w:val="24"/>
              </w:rPr>
              <w:t xml:space="preserve"> МФ ЯО</w:t>
            </w:r>
          </w:p>
        </w:tc>
        <w:tc>
          <w:tcPr>
            <w:tcW w:w="7778" w:type="dxa"/>
            <w:gridSpan w:val="2"/>
          </w:tcPr>
          <w:p w14:paraId="618D63AA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D131DD" w:rsidRPr="00D131DD" w14:paraId="24238518" w14:textId="77777777" w:rsidTr="007179EA">
        <w:tc>
          <w:tcPr>
            <w:tcW w:w="992" w:type="dxa"/>
          </w:tcPr>
          <w:p w14:paraId="0297E8E6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18CE73EF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4158" w:type="dxa"/>
          </w:tcPr>
          <w:p w14:paraId="43424A07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отсутствие просроченной задолженности по долговым обязательствам области, снижение рисков по государственному долгу области, минимизация стоимости его обслуживания</w:t>
            </w:r>
          </w:p>
        </w:tc>
        <w:tc>
          <w:tcPr>
            <w:tcW w:w="3620" w:type="dxa"/>
          </w:tcPr>
          <w:p w14:paraId="611ED3D8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отношение дефицита областного бюджета к объему доходов областного бюджета без учета безвозмездных поступлений;</w:t>
            </w:r>
          </w:p>
          <w:p w14:paraId="76B1F57C" w14:textId="77777777" w:rsidR="00D131DD" w:rsidRPr="00D131DD" w:rsidRDefault="00D131D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D131DD">
              <w:rPr>
                <w:rFonts w:cs="Times New Roman"/>
                <w:bCs/>
                <w:sz w:val="24"/>
                <w:szCs w:val="24"/>
              </w:rPr>
              <w:t>отношение общего объема долговых обязательств по рыночным заимствованиям области и муниципальных образований к объему доходов консолидированного бюджета без учета безвозмездных поступлений</w:t>
            </w:r>
          </w:p>
        </w:tc>
      </w:tr>
      <w:tr w:rsidR="001D1932" w:rsidRPr="00D131DD" w14:paraId="28AB2780" w14:textId="77777777" w:rsidTr="00A57EAC">
        <w:tc>
          <w:tcPr>
            <w:tcW w:w="14709" w:type="dxa"/>
            <w:gridSpan w:val="4"/>
          </w:tcPr>
          <w:p w14:paraId="794A0B94" w14:textId="0B090A90" w:rsidR="001D1932" w:rsidRPr="00D131DD" w:rsidRDefault="001D1932" w:rsidP="001752D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D1932">
              <w:rPr>
                <w:rFonts w:cs="Times New Roman"/>
                <w:bCs/>
                <w:sz w:val="24"/>
                <w:szCs w:val="24"/>
              </w:rPr>
              <w:t xml:space="preserve">5. Комплекс процессных мероприятий </w:t>
            </w:r>
            <w:r w:rsidR="001752DE">
              <w:rPr>
                <w:rFonts w:cs="Times New Roman"/>
                <w:bCs/>
                <w:sz w:val="24"/>
                <w:szCs w:val="24"/>
              </w:rPr>
              <w:t>«</w:t>
            </w:r>
            <w:r w:rsidRPr="001D1932">
              <w:rPr>
                <w:rFonts w:cs="Times New Roman"/>
                <w:bCs/>
                <w:sz w:val="24"/>
                <w:szCs w:val="24"/>
              </w:rPr>
              <w:t>Выявление уровня финансовой грамотности населения, проживающего на территории Ярославской области, и изучение особенностей его финансового поведения</w:t>
            </w:r>
            <w:r w:rsidR="001752DE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8F28CD" w:rsidRPr="00D131DD" w14:paraId="0F41A8C3" w14:textId="77777777" w:rsidTr="0003363E">
        <w:tc>
          <w:tcPr>
            <w:tcW w:w="992" w:type="dxa"/>
          </w:tcPr>
          <w:p w14:paraId="5D4ABEB6" w14:textId="77777777" w:rsidR="008F28CD" w:rsidRPr="00D131DD" w:rsidRDefault="008F28C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17834055" w14:textId="0FC82DA2" w:rsidR="008F28CD" w:rsidRPr="00D131DD" w:rsidRDefault="008F28CD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F28CD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</w:t>
            </w:r>
            <w:r w:rsidR="001752DE">
              <w:rPr>
                <w:rFonts w:cs="Times New Roman"/>
                <w:bCs/>
                <w:sz w:val="24"/>
                <w:szCs w:val="24"/>
              </w:rPr>
              <w:t>–</w:t>
            </w:r>
            <w:r w:rsidRPr="008F28CD">
              <w:rPr>
                <w:rFonts w:cs="Times New Roman"/>
                <w:bCs/>
                <w:sz w:val="24"/>
                <w:szCs w:val="24"/>
              </w:rPr>
              <w:t xml:space="preserve"> 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7778" w:type="dxa"/>
            <w:gridSpan w:val="2"/>
          </w:tcPr>
          <w:p w14:paraId="5A6FD4C0" w14:textId="6097CB47" w:rsidR="008F28CD" w:rsidRPr="00D131DD" w:rsidRDefault="008F28CD" w:rsidP="008F28C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8F28CD" w:rsidRPr="00D131DD" w14:paraId="5C785622" w14:textId="77777777" w:rsidTr="007179EA">
        <w:tc>
          <w:tcPr>
            <w:tcW w:w="992" w:type="dxa"/>
          </w:tcPr>
          <w:p w14:paraId="5F3E7678" w14:textId="77777777" w:rsidR="008F28CD" w:rsidRPr="00D131DD" w:rsidRDefault="008F28CD" w:rsidP="008F28C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7A53CB8E" w14:textId="6F90F14B" w:rsidR="008F28CD" w:rsidRPr="00D131DD" w:rsidRDefault="008F28CD" w:rsidP="008F28C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F28CD">
              <w:rPr>
                <w:rFonts w:cs="Times New Roman"/>
                <w:bCs/>
                <w:sz w:val="24"/>
                <w:szCs w:val="24"/>
              </w:rPr>
              <w:t>Организация проведения социологических исследований, направленных на изучение уровня финансовой грамотности населения</w:t>
            </w:r>
          </w:p>
        </w:tc>
        <w:tc>
          <w:tcPr>
            <w:tcW w:w="4158" w:type="dxa"/>
          </w:tcPr>
          <w:p w14:paraId="7BB5115A" w14:textId="58B5BEE7" w:rsidR="008F28CD" w:rsidRPr="00D131DD" w:rsidRDefault="008F28CD" w:rsidP="008F28C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</w:rPr>
              <w:t>получены сведения об уровне финансовой грамотности населения Ярославской области</w:t>
            </w:r>
          </w:p>
        </w:tc>
        <w:tc>
          <w:tcPr>
            <w:tcW w:w="3620" w:type="dxa"/>
          </w:tcPr>
          <w:p w14:paraId="6C6792D1" w14:textId="4F698CF8" w:rsidR="008F28CD" w:rsidRPr="00D131DD" w:rsidRDefault="008F28CD" w:rsidP="008F28C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color w:val="22272F"/>
                <w:sz w:val="23"/>
                <w:szCs w:val="23"/>
              </w:rPr>
              <w:t>темп роста налоговых и неналоговых доходов областного бюджета</w:t>
            </w:r>
          </w:p>
        </w:tc>
      </w:tr>
      <w:tr w:rsidR="008F28CD" w:rsidRPr="00D131DD" w14:paraId="4E8F7F49" w14:textId="77777777" w:rsidTr="00341AFA">
        <w:tc>
          <w:tcPr>
            <w:tcW w:w="14709" w:type="dxa"/>
            <w:gridSpan w:val="4"/>
          </w:tcPr>
          <w:p w14:paraId="0A789241" w14:textId="3812ED82" w:rsidR="008F28CD" w:rsidRPr="00D131DD" w:rsidRDefault="008F28CD" w:rsidP="001752DE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8F28CD">
              <w:rPr>
                <w:rFonts w:cs="Times New Roman"/>
                <w:bCs/>
                <w:sz w:val="24"/>
                <w:szCs w:val="24"/>
              </w:rPr>
              <w:t xml:space="preserve">6. Комплекс процессных мероприятий </w:t>
            </w:r>
            <w:r w:rsidR="001752DE">
              <w:rPr>
                <w:rFonts w:cs="Times New Roman"/>
                <w:bCs/>
                <w:sz w:val="24"/>
                <w:szCs w:val="24"/>
              </w:rPr>
              <w:t>«</w:t>
            </w:r>
            <w:r w:rsidRPr="008F28CD">
              <w:rPr>
                <w:rFonts w:cs="Times New Roman"/>
                <w:bCs/>
                <w:sz w:val="24"/>
                <w:szCs w:val="24"/>
              </w:rPr>
              <w:t>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</w:t>
            </w:r>
            <w:r w:rsidR="001752DE">
              <w:rPr>
                <w:rFonts w:cs="Times New Roman"/>
                <w:bCs/>
                <w:sz w:val="24"/>
                <w:szCs w:val="24"/>
              </w:rPr>
              <w:t>»</w:t>
            </w:r>
          </w:p>
        </w:tc>
      </w:tr>
      <w:tr w:rsidR="008F28CD" w:rsidRPr="00D131DD" w14:paraId="431C76DD" w14:textId="77777777" w:rsidTr="008E23F5">
        <w:tc>
          <w:tcPr>
            <w:tcW w:w="992" w:type="dxa"/>
          </w:tcPr>
          <w:p w14:paraId="30485D44" w14:textId="77777777" w:rsidR="008F28CD" w:rsidRPr="00D131DD" w:rsidRDefault="008F28CD" w:rsidP="00D131DD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632EBC76" w14:textId="55E14D14" w:rsidR="008F28CD" w:rsidRPr="00D131DD" w:rsidRDefault="00250C48" w:rsidP="00D131DD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250C48">
              <w:rPr>
                <w:rFonts w:cs="Times New Roman"/>
                <w:bCs/>
                <w:sz w:val="24"/>
                <w:szCs w:val="24"/>
              </w:rPr>
              <w:t xml:space="preserve">Ответственный за реализацию </w:t>
            </w:r>
            <w:r w:rsidR="001752DE">
              <w:rPr>
                <w:rFonts w:cs="Times New Roman"/>
                <w:bCs/>
                <w:sz w:val="24"/>
                <w:szCs w:val="24"/>
              </w:rPr>
              <w:t>–</w:t>
            </w:r>
            <w:r w:rsidRPr="00250C48">
              <w:rPr>
                <w:rFonts w:cs="Times New Roman"/>
                <w:bCs/>
                <w:sz w:val="24"/>
                <w:szCs w:val="24"/>
              </w:rPr>
              <w:t xml:space="preserve"> МФ ЯО</w:t>
            </w:r>
          </w:p>
        </w:tc>
        <w:tc>
          <w:tcPr>
            <w:tcW w:w="7778" w:type="dxa"/>
            <w:gridSpan w:val="2"/>
          </w:tcPr>
          <w:p w14:paraId="26C3DDB0" w14:textId="199031FE" w:rsidR="008F28CD" w:rsidRPr="00D131DD" w:rsidRDefault="00250C48" w:rsidP="00250C48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-</w:t>
            </w:r>
          </w:p>
        </w:tc>
      </w:tr>
      <w:tr w:rsidR="00250C48" w:rsidRPr="00D131DD" w14:paraId="0E6DC45D" w14:textId="77777777" w:rsidTr="007179EA">
        <w:tc>
          <w:tcPr>
            <w:tcW w:w="992" w:type="dxa"/>
          </w:tcPr>
          <w:p w14:paraId="499786A4" w14:textId="77777777" w:rsidR="00250C48" w:rsidRPr="001752DE" w:rsidRDefault="00250C48" w:rsidP="00250C48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</w:rPr>
            </w:pPr>
          </w:p>
        </w:tc>
        <w:tc>
          <w:tcPr>
            <w:tcW w:w="5939" w:type="dxa"/>
          </w:tcPr>
          <w:p w14:paraId="5515126D" w14:textId="11BC689B" w:rsidR="00250C48" w:rsidRPr="001752DE" w:rsidRDefault="00250C48" w:rsidP="00250C4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752DE">
              <w:rPr>
                <w:color w:val="22272F"/>
                <w:sz w:val="24"/>
                <w:szCs w:val="24"/>
              </w:rPr>
              <w:t>Обеспечение реализации социально значимых проектов, направленных на повышение финансовой грамотности населения Ярославской области</w:t>
            </w:r>
          </w:p>
        </w:tc>
        <w:tc>
          <w:tcPr>
            <w:tcW w:w="4158" w:type="dxa"/>
          </w:tcPr>
          <w:p w14:paraId="2470B910" w14:textId="0405B749" w:rsidR="00250C48" w:rsidRPr="001752DE" w:rsidRDefault="00250C48" w:rsidP="00250C4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752DE">
              <w:rPr>
                <w:color w:val="22272F"/>
                <w:sz w:val="24"/>
                <w:szCs w:val="24"/>
              </w:rPr>
              <w:t>обеспечена финансовая поддержка организаций, реализующих образовательные мероприятия по повышению финансовой грамотности среди целевых групп населения Ярославской области</w:t>
            </w:r>
          </w:p>
        </w:tc>
        <w:tc>
          <w:tcPr>
            <w:tcW w:w="3620" w:type="dxa"/>
          </w:tcPr>
          <w:p w14:paraId="13787002" w14:textId="6A552F1A" w:rsidR="00250C48" w:rsidRPr="001752DE" w:rsidRDefault="00250C48" w:rsidP="00250C4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</w:rPr>
            </w:pPr>
            <w:r w:rsidRPr="001752DE">
              <w:rPr>
                <w:color w:val="22272F"/>
                <w:sz w:val="24"/>
                <w:szCs w:val="24"/>
              </w:rPr>
              <w:t>темп роста налоговых и неналоговых доходов областного бюджета</w:t>
            </w:r>
          </w:p>
        </w:tc>
      </w:tr>
    </w:tbl>
    <w:p w14:paraId="01B5A48B" w14:textId="173648E3" w:rsidR="00D131DD" w:rsidRDefault="00D131DD" w:rsidP="00D131DD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p w14:paraId="30760C2A" w14:textId="77777777" w:rsidR="00D131DD" w:rsidRPr="00D131DD" w:rsidRDefault="00D131DD" w:rsidP="00D131DD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D131DD">
        <w:rPr>
          <w:rFonts w:cs="Times New Roman"/>
          <w:bCs/>
          <w:szCs w:val="28"/>
        </w:rPr>
        <w:lastRenderedPageBreak/>
        <w:t xml:space="preserve">4. Финансовое обеспечение Государственной программы </w:t>
      </w:r>
    </w:p>
    <w:p w14:paraId="3BBD6C6B" w14:textId="1B8B91FA" w:rsidR="00D131DD" w:rsidRDefault="00D131DD" w:rsidP="00D131DD">
      <w:pPr>
        <w:keepNext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W w:w="14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9"/>
        <w:gridCol w:w="1546"/>
        <w:gridCol w:w="1546"/>
        <w:gridCol w:w="1546"/>
        <w:gridCol w:w="1546"/>
        <w:gridCol w:w="1546"/>
        <w:gridCol w:w="1546"/>
        <w:gridCol w:w="1546"/>
        <w:gridCol w:w="1546"/>
      </w:tblGrid>
      <w:tr w:rsidR="002850A6" w:rsidRPr="00304506" w14:paraId="6F6F1955" w14:textId="77777777" w:rsidTr="00795CA2">
        <w:tc>
          <w:tcPr>
            <w:tcW w:w="24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33F6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23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659C7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 рублей</w:t>
            </w:r>
          </w:p>
        </w:tc>
      </w:tr>
      <w:tr w:rsidR="002850A6" w:rsidRPr="00304506" w14:paraId="469B54D7" w14:textId="77777777" w:rsidTr="00795CA2">
        <w:tc>
          <w:tcPr>
            <w:tcW w:w="24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BD41" w14:textId="77777777" w:rsidR="002850A6" w:rsidRPr="00304506" w:rsidRDefault="002850A6" w:rsidP="00795CA2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2553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E2A0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0F87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3B48A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EDC5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7E07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E95C1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43E455" w14:textId="77777777" w:rsidR="002850A6" w:rsidRPr="00304506" w:rsidRDefault="002850A6" w:rsidP="00795CA2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</w:tbl>
    <w:p w14:paraId="1F450A1C" w14:textId="77777777" w:rsidR="002850A6" w:rsidRPr="002850A6" w:rsidRDefault="002850A6" w:rsidP="00D131DD">
      <w:pPr>
        <w:keepNext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sz w:val="2"/>
          <w:szCs w:val="2"/>
        </w:rPr>
      </w:pPr>
    </w:p>
    <w:tbl>
      <w:tblPr>
        <w:tblW w:w="148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9"/>
        <w:gridCol w:w="1546"/>
        <w:gridCol w:w="1546"/>
        <w:gridCol w:w="1546"/>
        <w:gridCol w:w="1546"/>
        <w:gridCol w:w="1546"/>
        <w:gridCol w:w="1546"/>
        <w:gridCol w:w="1546"/>
        <w:gridCol w:w="1546"/>
      </w:tblGrid>
      <w:tr w:rsidR="00304506" w:rsidRPr="00304506" w14:paraId="192959FC" w14:textId="77777777" w:rsidTr="002850A6">
        <w:trPr>
          <w:tblHeader/>
        </w:trPr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8B43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62A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68E49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7CD4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CA06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2F8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5436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76846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97F1F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04506" w:rsidRPr="00304506" w14:paraId="15DE8362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CB32" w14:textId="049E5DCA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программа Ярославской области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эффективного управления региональными и муниципальными финансами в Ярославской области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на 2024 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850A6" w:rsidRPr="0030450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2030 годы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  <w:p w14:paraId="29193547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9EC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8236122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1757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5425212,9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0889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3424272,9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5E9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2916916,7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9334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2916916,7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359E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2916916,7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AE7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2916916,7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80CA53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28753274,6</w:t>
            </w:r>
          </w:p>
        </w:tc>
      </w:tr>
      <w:tr w:rsidR="00304506" w:rsidRPr="00304506" w14:paraId="64537EB0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070B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EC9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8235955,3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39A9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5425046,2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F11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3424106,2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0FDD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2916750,0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6055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2916750,0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8EE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2916750,0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2B8BF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2916750,0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6360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28752107,7</w:t>
            </w:r>
          </w:p>
        </w:tc>
      </w:tr>
      <w:tr w:rsidR="00304506" w:rsidRPr="00304506" w14:paraId="198EDD91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FFF19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682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922E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9C089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08BB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DA4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C8A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C053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0A348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1166,9</w:t>
            </w:r>
          </w:p>
        </w:tc>
      </w:tr>
      <w:tr w:rsidR="00304506" w:rsidRPr="00304506" w14:paraId="32376CB0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BD13" w14:textId="4511B395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бюджетного процесса и формирования 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бюджетной отчетности в Ярославской области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» –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  <w:p w14:paraId="01203AA1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D2DB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152893,4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076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132923,4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30826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132923,4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99EF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125567,2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A30AE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125567,2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484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125567,2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513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125567,2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2CA15F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921009,0</w:t>
            </w:r>
          </w:p>
        </w:tc>
      </w:tr>
      <w:tr w:rsidR="00304506" w:rsidRPr="00304506" w14:paraId="063DC1BC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781A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40F5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152893,4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C3BB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132923,4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AB6C6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132923,4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9B9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125567,2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3C55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125567,2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7D7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125567,2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305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125567,2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14924F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921009,0</w:t>
            </w:r>
          </w:p>
        </w:tc>
      </w:tr>
      <w:tr w:rsidR="00304506" w:rsidRPr="00304506" w14:paraId="1AD47738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0565" w14:textId="1CC51C7D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Выравнивание уровня бюджетной обеспеченности муниципальных образований Ярославской области и обеспечение сбалансированности местных бюджетов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» –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  <w:p w14:paraId="08619ABC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C3C3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6639097,0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7E2C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3022867,0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15C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1021927,0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6E8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E96B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91C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518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CCC5FF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12771599,0</w:t>
            </w:r>
          </w:p>
        </w:tc>
      </w:tr>
      <w:tr w:rsidR="00304506" w:rsidRPr="00304506" w14:paraId="6E297898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5FEE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1D54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6639097,0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00A0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3022867,0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9BD2F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1021927,0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BA3B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960D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19C9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FC2D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521927,0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512C9E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12771599,0</w:t>
            </w:r>
          </w:p>
        </w:tc>
      </w:tr>
      <w:tr w:rsidR="00304506" w:rsidRPr="00304506" w14:paraId="77EDAB00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5F32" w14:textId="4C7E8E6D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государственным долгом Ярославской области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  <w:p w14:paraId="6AC4E44B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F700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1442042,6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8840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E38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A70E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79BB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FD3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BBD6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26072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15047077,4</w:t>
            </w:r>
          </w:p>
        </w:tc>
      </w:tr>
      <w:tr w:rsidR="00304506" w:rsidRPr="00304506" w14:paraId="2B461445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098C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9251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1442042,6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61E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A0AB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9CCF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7F20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C4DE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551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2267505,8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60F28F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15047077,4</w:t>
            </w:r>
          </w:p>
        </w:tc>
      </w:tr>
      <w:tr w:rsidR="00304506" w:rsidRPr="00304506" w14:paraId="5A8A2BF6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45702" w14:textId="1053EEF0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Ведомственный проект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финансовой 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грамотности в Ярославской области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  <w:p w14:paraId="020ACD8F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94A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172,3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C33C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82E1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C069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71B6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065F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2748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3BB48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172,3</w:t>
            </w:r>
          </w:p>
        </w:tc>
      </w:tr>
      <w:tr w:rsidR="00304506" w:rsidRPr="00304506" w14:paraId="75A94C87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52B0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E702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172,3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ECA2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B019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94F1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96AC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3C5F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D3F7" w14:textId="77777777" w:rsidR="00304506" w:rsidRPr="00304506" w:rsidRDefault="00304506" w:rsidP="00390EA9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408132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172,3</w:t>
            </w:r>
          </w:p>
        </w:tc>
      </w:tr>
      <w:tr w:rsidR="00304506" w:rsidRPr="00304506" w14:paraId="53807565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D080" w14:textId="1E257B79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Выявление уровня финансовой грамотности населения, проживающего на территории Ярославской области, и изучение особенностей его финансового поведения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  <w:p w14:paraId="76F0A945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B62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BF6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44E3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8A36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F19F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55ED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3139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A468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</w:tr>
      <w:tr w:rsidR="00304506" w:rsidRPr="00304506" w14:paraId="0F8A87BF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810F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областные средства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CD0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6DD2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BC3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B39E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973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7C62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C69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F68CF5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1750,0</w:t>
            </w:r>
          </w:p>
        </w:tc>
      </w:tr>
      <w:tr w:rsidR="00304506" w:rsidRPr="00304506" w14:paraId="285CE1B0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5DDD" w14:textId="201624A8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поддержка лучших социально значимых проектов, направленных на повышение финансовой грамотности населения, 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реализуемых на территории Ярославской области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50A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 xml:space="preserve"> всего</w:t>
            </w:r>
          </w:p>
          <w:p w14:paraId="4DCBB8F5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6865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B8EB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DB1F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2699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C2D5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139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244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FACB7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11666,9</w:t>
            </w:r>
          </w:p>
        </w:tc>
      </w:tr>
      <w:tr w:rsidR="00304506" w:rsidRPr="00304506" w14:paraId="2634FEB3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D2AA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- областные средства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804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6DAD2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83C1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584E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9655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073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3FCC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AE3506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</w:tr>
      <w:tr w:rsidR="00304506" w:rsidRPr="00304506" w14:paraId="459FE626" w14:textId="77777777" w:rsidTr="00304506">
        <w:tc>
          <w:tcPr>
            <w:tcW w:w="24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D27F" w14:textId="77777777" w:rsidR="00304506" w:rsidRPr="00304506" w:rsidRDefault="00304506" w:rsidP="00390EA9">
            <w:pPr>
              <w:pStyle w:val="af6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3830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726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126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586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56D7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2D68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A435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166,7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5A634A" w14:textId="77777777" w:rsidR="00304506" w:rsidRPr="00304506" w:rsidRDefault="00304506" w:rsidP="00390EA9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4506">
              <w:rPr>
                <w:rFonts w:ascii="Times New Roman" w:hAnsi="Times New Roman" w:cs="Times New Roman"/>
                <w:sz w:val="24"/>
                <w:szCs w:val="24"/>
              </w:rPr>
              <w:t>1166,9</w:t>
            </w:r>
          </w:p>
        </w:tc>
      </w:tr>
    </w:tbl>
    <w:p w14:paraId="76D57E3C" w14:textId="4A908D0D" w:rsidR="00304506" w:rsidRDefault="00304506" w:rsidP="00D131DD">
      <w:pPr>
        <w:keepNext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szCs w:val="28"/>
        </w:rPr>
      </w:pPr>
    </w:p>
    <w:sectPr w:rsidR="00304506" w:rsidSect="00D131DD">
      <w:headerReference w:type="default" r:id="rId10"/>
      <w:headerReference w:type="first" r:id="rId11"/>
      <w:pgSz w:w="16838" w:h="11906" w:orient="landscape"/>
      <w:pgMar w:top="1701" w:right="1134" w:bottom="567" w:left="1134" w:header="426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F4FF6B" w14:textId="77777777" w:rsidR="00816478" w:rsidRDefault="00816478" w:rsidP="00CF5840">
      <w:r>
        <w:separator/>
      </w:r>
    </w:p>
  </w:endnote>
  <w:endnote w:type="continuationSeparator" w:id="0">
    <w:p w14:paraId="506CCD51" w14:textId="77777777" w:rsidR="00816478" w:rsidRDefault="00816478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00402" w14:textId="77777777" w:rsidR="00816478" w:rsidRDefault="00816478" w:rsidP="00CF5840">
      <w:r>
        <w:separator/>
      </w:r>
    </w:p>
  </w:footnote>
  <w:footnote w:type="continuationSeparator" w:id="0">
    <w:p w14:paraId="4AB6971F" w14:textId="77777777" w:rsidR="00816478" w:rsidRDefault="00816478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02676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5CDFDC0C" w14:textId="79873556" w:rsidR="009A213C" w:rsidRPr="009A213C" w:rsidRDefault="009A213C">
        <w:pPr>
          <w:pStyle w:val="a4"/>
          <w:jc w:val="center"/>
          <w:rPr>
            <w:sz w:val="24"/>
          </w:rPr>
        </w:pPr>
        <w:r w:rsidRPr="009A213C">
          <w:rPr>
            <w:sz w:val="24"/>
          </w:rPr>
          <w:fldChar w:fldCharType="begin"/>
        </w:r>
        <w:r w:rsidRPr="009A213C">
          <w:rPr>
            <w:sz w:val="24"/>
          </w:rPr>
          <w:instrText>PAGE   \* MERGEFORMAT</w:instrText>
        </w:r>
        <w:r w:rsidRPr="009A213C">
          <w:rPr>
            <w:sz w:val="24"/>
          </w:rPr>
          <w:fldChar w:fldCharType="separate"/>
        </w:r>
        <w:r w:rsidR="00BF0EE7">
          <w:rPr>
            <w:noProof/>
            <w:sz w:val="24"/>
          </w:rPr>
          <w:t>14</w:t>
        </w:r>
        <w:r w:rsidRPr="009A213C">
          <w:rPr>
            <w:sz w:val="24"/>
          </w:rPr>
          <w:fldChar w:fldCharType="end"/>
        </w:r>
      </w:p>
    </w:sdtContent>
  </w:sdt>
  <w:p w14:paraId="3864B6D0" w14:textId="0E7BEA58" w:rsidR="00FB08E0" w:rsidRPr="00157901" w:rsidRDefault="00FB08E0" w:rsidP="0015790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62B95" w14:textId="53D83C5D" w:rsidR="00FB08E0" w:rsidRDefault="00FB08E0" w:rsidP="00FB08E0">
    <w:pPr>
      <w:pStyle w:val="a4"/>
      <w:ind w:firstLine="0"/>
      <w:jc w:val="center"/>
    </w:pPr>
  </w:p>
  <w:p w14:paraId="15691B06" w14:textId="77777777" w:rsidR="00FB08E0" w:rsidRDefault="00FB08E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609F"/>
    <w:rsid w:val="0000677B"/>
    <w:rsid w:val="00007DCA"/>
    <w:rsid w:val="0001107F"/>
    <w:rsid w:val="00021BFB"/>
    <w:rsid w:val="00023427"/>
    <w:rsid w:val="00043F02"/>
    <w:rsid w:val="00056F27"/>
    <w:rsid w:val="00062B60"/>
    <w:rsid w:val="00083E6D"/>
    <w:rsid w:val="000B09C8"/>
    <w:rsid w:val="000C1709"/>
    <w:rsid w:val="000C7F5A"/>
    <w:rsid w:val="000E3F97"/>
    <w:rsid w:val="000E45C6"/>
    <w:rsid w:val="0012733C"/>
    <w:rsid w:val="0013169D"/>
    <w:rsid w:val="001347C5"/>
    <w:rsid w:val="001500C3"/>
    <w:rsid w:val="00156AC1"/>
    <w:rsid w:val="00157901"/>
    <w:rsid w:val="001707B3"/>
    <w:rsid w:val="00173229"/>
    <w:rsid w:val="001752DE"/>
    <w:rsid w:val="001756AD"/>
    <w:rsid w:val="001813E5"/>
    <w:rsid w:val="0019349E"/>
    <w:rsid w:val="001B6AAD"/>
    <w:rsid w:val="001C3F8A"/>
    <w:rsid w:val="001C78DA"/>
    <w:rsid w:val="001D1932"/>
    <w:rsid w:val="001D5A20"/>
    <w:rsid w:val="001E314B"/>
    <w:rsid w:val="001E4545"/>
    <w:rsid w:val="001F04AE"/>
    <w:rsid w:val="001F30E9"/>
    <w:rsid w:val="001F3512"/>
    <w:rsid w:val="001F414D"/>
    <w:rsid w:val="00204AB9"/>
    <w:rsid w:val="00205C5B"/>
    <w:rsid w:val="0021036A"/>
    <w:rsid w:val="00221E39"/>
    <w:rsid w:val="00225110"/>
    <w:rsid w:val="002261FB"/>
    <w:rsid w:val="002275BA"/>
    <w:rsid w:val="002306C4"/>
    <w:rsid w:val="00245B16"/>
    <w:rsid w:val="00250C48"/>
    <w:rsid w:val="00251DCB"/>
    <w:rsid w:val="00260038"/>
    <w:rsid w:val="002766E1"/>
    <w:rsid w:val="002779F7"/>
    <w:rsid w:val="002850A6"/>
    <w:rsid w:val="002969A9"/>
    <w:rsid w:val="002B1704"/>
    <w:rsid w:val="002C1240"/>
    <w:rsid w:val="002C5A81"/>
    <w:rsid w:val="002D4AB4"/>
    <w:rsid w:val="002F238E"/>
    <w:rsid w:val="002F30DD"/>
    <w:rsid w:val="002F6DDE"/>
    <w:rsid w:val="002F75E4"/>
    <w:rsid w:val="00304506"/>
    <w:rsid w:val="00304581"/>
    <w:rsid w:val="003069C6"/>
    <w:rsid w:val="00316097"/>
    <w:rsid w:val="003246AA"/>
    <w:rsid w:val="00331283"/>
    <w:rsid w:val="00347AD7"/>
    <w:rsid w:val="003648C7"/>
    <w:rsid w:val="003656CE"/>
    <w:rsid w:val="003733F6"/>
    <w:rsid w:val="00381164"/>
    <w:rsid w:val="003A2DCC"/>
    <w:rsid w:val="003B6A01"/>
    <w:rsid w:val="003B7DA1"/>
    <w:rsid w:val="003C1FBA"/>
    <w:rsid w:val="003C223B"/>
    <w:rsid w:val="003D1E8D"/>
    <w:rsid w:val="003D4880"/>
    <w:rsid w:val="003E33CC"/>
    <w:rsid w:val="003F43C8"/>
    <w:rsid w:val="003F65E2"/>
    <w:rsid w:val="0040656C"/>
    <w:rsid w:val="0042780A"/>
    <w:rsid w:val="00430DDC"/>
    <w:rsid w:val="004549B2"/>
    <w:rsid w:val="00470773"/>
    <w:rsid w:val="0047728C"/>
    <w:rsid w:val="00481BA8"/>
    <w:rsid w:val="004845DC"/>
    <w:rsid w:val="00487DAB"/>
    <w:rsid w:val="00497DB9"/>
    <w:rsid w:val="004A752D"/>
    <w:rsid w:val="004B6211"/>
    <w:rsid w:val="004B7437"/>
    <w:rsid w:val="004C156A"/>
    <w:rsid w:val="004D7E7B"/>
    <w:rsid w:val="004E01B0"/>
    <w:rsid w:val="004F0106"/>
    <w:rsid w:val="004F5B67"/>
    <w:rsid w:val="00506C83"/>
    <w:rsid w:val="00506FB6"/>
    <w:rsid w:val="005077B2"/>
    <w:rsid w:val="00511DC2"/>
    <w:rsid w:val="0051227B"/>
    <w:rsid w:val="005179D4"/>
    <w:rsid w:val="00547508"/>
    <w:rsid w:val="0055179E"/>
    <w:rsid w:val="00554047"/>
    <w:rsid w:val="00570FBB"/>
    <w:rsid w:val="0057505A"/>
    <w:rsid w:val="00584EBA"/>
    <w:rsid w:val="005862FB"/>
    <w:rsid w:val="00592558"/>
    <w:rsid w:val="005936AA"/>
    <w:rsid w:val="00594099"/>
    <w:rsid w:val="00594B37"/>
    <w:rsid w:val="00595518"/>
    <w:rsid w:val="0059760A"/>
    <w:rsid w:val="005A05A3"/>
    <w:rsid w:val="005B5BD5"/>
    <w:rsid w:val="005D0148"/>
    <w:rsid w:val="005D0750"/>
    <w:rsid w:val="005D4AE9"/>
    <w:rsid w:val="005D70F9"/>
    <w:rsid w:val="005F2543"/>
    <w:rsid w:val="00604698"/>
    <w:rsid w:val="006072E1"/>
    <w:rsid w:val="006128BB"/>
    <w:rsid w:val="006157BF"/>
    <w:rsid w:val="00615BAD"/>
    <w:rsid w:val="00620C27"/>
    <w:rsid w:val="00631ABE"/>
    <w:rsid w:val="006751C5"/>
    <w:rsid w:val="00681496"/>
    <w:rsid w:val="006901C3"/>
    <w:rsid w:val="00692269"/>
    <w:rsid w:val="006924D8"/>
    <w:rsid w:val="006A05DE"/>
    <w:rsid w:val="006B61FF"/>
    <w:rsid w:val="006C4238"/>
    <w:rsid w:val="006E69FF"/>
    <w:rsid w:val="00716047"/>
    <w:rsid w:val="00721775"/>
    <w:rsid w:val="0073044C"/>
    <w:rsid w:val="00730833"/>
    <w:rsid w:val="00732E32"/>
    <w:rsid w:val="007341B3"/>
    <w:rsid w:val="00737E26"/>
    <w:rsid w:val="00741682"/>
    <w:rsid w:val="0074660E"/>
    <w:rsid w:val="0075264F"/>
    <w:rsid w:val="007550AC"/>
    <w:rsid w:val="007668C3"/>
    <w:rsid w:val="00771084"/>
    <w:rsid w:val="00773AA6"/>
    <w:rsid w:val="00783415"/>
    <w:rsid w:val="00796C37"/>
    <w:rsid w:val="007C5551"/>
    <w:rsid w:val="007D2016"/>
    <w:rsid w:val="007D5B03"/>
    <w:rsid w:val="007F7623"/>
    <w:rsid w:val="00807703"/>
    <w:rsid w:val="00810833"/>
    <w:rsid w:val="00810C63"/>
    <w:rsid w:val="00816478"/>
    <w:rsid w:val="00852F72"/>
    <w:rsid w:val="00860512"/>
    <w:rsid w:val="008614DD"/>
    <w:rsid w:val="008B24BA"/>
    <w:rsid w:val="008B5217"/>
    <w:rsid w:val="008C1CB8"/>
    <w:rsid w:val="008C5C70"/>
    <w:rsid w:val="008F28CD"/>
    <w:rsid w:val="008F68C9"/>
    <w:rsid w:val="009213DE"/>
    <w:rsid w:val="00951EAB"/>
    <w:rsid w:val="00964E0B"/>
    <w:rsid w:val="00965D6F"/>
    <w:rsid w:val="00976B4B"/>
    <w:rsid w:val="00986D19"/>
    <w:rsid w:val="00995D81"/>
    <w:rsid w:val="009A08C0"/>
    <w:rsid w:val="009A213C"/>
    <w:rsid w:val="009B0A11"/>
    <w:rsid w:val="009B5DB9"/>
    <w:rsid w:val="009B795A"/>
    <w:rsid w:val="009D14FA"/>
    <w:rsid w:val="009D32D6"/>
    <w:rsid w:val="009D58E5"/>
    <w:rsid w:val="009E30F9"/>
    <w:rsid w:val="00A04FA1"/>
    <w:rsid w:val="00A06DC7"/>
    <w:rsid w:val="00A13E0D"/>
    <w:rsid w:val="00A1616F"/>
    <w:rsid w:val="00A23113"/>
    <w:rsid w:val="00A2360C"/>
    <w:rsid w:val="00A245E1"/>
    <w:rsid w:val="00A477F4"/>
    <w:rsid w:val="00A71464"/>
    <w:rsid w:val="00A7332D"/>
    <w:rsid w:val="00A81AC1"/>
    <w:rsid w:val="00A83D83"/>
    <w:rsid w:val="00A87B66"/>
    <w:rsid w:val="00AA2040"/>
    <w:rsid w:val="00AA4F29"/>
    <w:rsid w:val="00AB1687"/>
    <w:rsid w:val="00AB3878"/>
    <w:rsid w:val="00AB3A98"/>
    <w:rsid w:val="00AC026D"/>
    <w:rsid w:val="00AE3C7D"/>
    <w:rsid w:val="00B04C52"/>
    <w:rsid w:val="00B126A3"/>
    <w:rsid w:val="00B41FCA"/>
    <w:rsid w:val="00B44117"/>
    <w:rsid w:val="00B55589"/>
    <w:rsid w:val="00B62E62"/>
    <w:rsid w:val="00B652A0"/>
    <w:rsid w:val="00B6639B"/>
    <w:rsid w:val="00B71C50"/>
    <w:rsid w:val="00B90652"/>
    <w:rsid w:val="00BB1812"/>
    <w:rsid w:val="00BB38FE"/>
    <w:rsid w:val="00BC2C0F"/>
    <w:rsid w:val="00BD3826"/>
    <w:rsid w:val="00BE39C5"/>
    <w:rsid w:val="00BE7C98"/>
    <w:rsid w:val="00BF0EE7"/>
    <w:rsid w:val="00C03E5A"/>
    <w:rsid w:val="00C052E1"/>
    <w:rsid w:val="00C208D9"/>
    <w:rsid w:val="00C22D48"/>
    <w:rsid w:val="00C2740E"/>
    <w:rsid w:val="00C4062D"/>
    <w:rsid w:val="00C40DFB"/>
    <w:rsid w:val="00C43800"/>
    <w:rsid w:val="00C710F2"/>
    <w:rsid w:val="00C72635"/>
    <w:rsid w:val="00C73D60"/>
    <w:rsid w:val="00C8595D"/>
    <w:rsid w:val="00C9739E"/>
    <w:rsid w:val="00CD1C77"/>
    <w:rsid w:val="00CD3D9A"/>
    <w:rsid w:val="00CF48FC"/>
    <w:rsid w:val="00CF4A59"/>
    <w:rsid w:val="00CF5840"/>
    <w:rsid w:val="00D00EFB"/>
    <w:rsid w:val="00D03578"/>
    <w:rsid w:val="00D06430"/>
    <w:rsid w:val="00D12A27"/>
    <w:rsid w:val="00D131DD"/>
    <w:rsid w:val="00D22C59"/>
    <w:rsid w:val="00D41350"/>
    <w:rsid w:val="00D430DC"/>
    <w:rsid w:val="00D438D5"/>
    <w:rsid w:val="00D44215"/>
    <w:rsid w:val="00D44692"/>
    <w:rsid w:val="00D62854"/>
    <w:rsid w:val="00D917EF"/>
    <w:rsid w:val="00D93F0C"/>
    <w:rsid w:val="00D94D3E"/>
    <w:rsid w:val="00D95379"/>
    <w:rsid w:val="00D96F5E"/>
    <w:rsid w:val="00DA54C0"/>
    <w:rsid w:val="00DB184E"/>
    <w:rsid w:val="00DC461E"/>
    <w:rsid w:val="00DE1A85"/>
    <w:rsid w:val="00DE7350"/>
    <w:rsid w:val="00DF19A4"/>
    <w:rsid w:val="00DF1A17"/>
    <w:rsid w:val="00E0412F"/>
    <w:rsid w:val="00E10153"/>
    <w:rsid w:val="00E1407E"/>
    <w:rsid w:val="00E14399"/>
    <w:rsid w:val="00E310C5"/>
    <w:rsid w:val="00E377E1"/>
    <w:rsid w:val="00E37EA8"/>
    <w:rsid w:val="00E40A1F"/>
    <w:rsid w:val="00E41A4A"/>
    <w:rsid w:val="00E443BA"/>
    <w:rsid w:val="00E51ED2"/>
    <w:rsid w:val="00E56E79"/>
    <w:rsid w:val="00E63AF1"/>
    <w:rsid w:val="00E72745"/>
    <w:rsid w:val="00E75108"/>
    <w:rsid w:val="00E80079"/>
    <w:rsid w:val="00E83462"/>
    <w:rsid w:val="00EA288C"/>
    <w:rsid w:val="00EA7B58"/>
    <w:rsid w:val="00EA7EA4"/>
    <w:rsid w:val="00ED15EF"/>
    <w:rsid w:val="00EF10A2"/>
    <w:rsid w:val="00F20E9F"/>
    <w:rsid w:val="00F24227"/>
    <w:rsid w:val="00F30B75"/>
    <w:rsid w:val="00F31CBD"/>
    <w:rsid w:val="00F51B36"/>
    <w:rsid w:val="00F52C40"/>
    <w:rsid w:val="00F55139"/>
    <w:rsid w:val="00F57D4F"/>
    <w:rsid w:val="00F60645"/>
    <w:rsid w:val="00F73ADA"/>
    <w:rsid w:val="00F82D65"/>
    <w:rsid w:val="00FA5D39"/>
    <w:rsid w:val="00FA5EA7"/>
    <w:rsid w:val="00FB08E0"/>
    <w:rsid w:val="00FB15DB"/>
    <w:rsid w:val="00FC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4448D"/>
  <w15:docId w15:val="{BA8C34F1-0C6A-45C3-A127-DCE91F26E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0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F5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E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2E32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4469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">
    <w:name w:val="Сетка таблицы2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E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08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59"/>
    <w:rsid w:val="00A0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E5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3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8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A54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DA54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DA54C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5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4C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1">
    <w:name w:val="Основной текст_"/>
    <w:basedOn w:val="a0"/>
    <w:link w:val="10"/>
    <w:rsid w:val="00A714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4"/>
    <w:rsid w:val="00A714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71464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4">
    <w:name w:val="Заголовок №2"/>
    <w:basedOn w:val="a"/>
    <w:link w:val="20"/>
    <w:rsid w:val="00A71464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D131DD"/>
  </w:style>
  <w:style w:type="table" w:customStyle="1" w:styleId="100">
    <w:name w:val="Сетка таблицы10"/>
    <w:basedOn w:val="a1"/>
    <w:next w:val="a3"/>
    <w:uiPriority w:val="59"/>
    <w:rsid w:val="00D131DD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D131D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D131DD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D131DD"/>
    <w:rPr>
      <w:color w:val="954F72"/>
      <w:u w:val="single"/>
    </w:rPr>
  </w:style>
  <w:style w:type="character" w:styleId="af4">
    <w:name w:val="FollowedHyperlink"/>
    <w:basedOn w:val="a0"/>
    <w:uiPriority w:val="99"/>
    <w:semiHidden/>
    <w:unhideWhenUsed/>
    <w:rsid w:val="00D131DD"/>
    <w:rPr>
      <w:color w:val="800080" w:themeColor="followedHyperlink"/>
      <w:u w:val="single"/>
    </w:rPr>
  </w:style>
  <w:style w:type="paragraph" w:customStyle="1" w:styleId="af5">
    <w:name w:val="Нормальный (таблица)"/>
    <w:basedOn w:val="a"/>
    <w:next w:val="a"/>
    <w:uiPriority w:val="99"/>
    <w:rsid w:val="00304506"/>
    <w:pPr>
      <w:widowControl w:val="0"/>
      <w:autoSpaceDE w:val="0"/>
      <w:autoSpaceDN w:val="0"/>
      <w:adjustRightInd w:val="0"/>
      <w:ind w:firstLine="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304506"/>
    <w:pPr>
      <w:widowControl w:val="0"/>
      <w:autoSpaceDE w:val="0"/>
      <w:autoSpaceDN w:val="0"/>
      <w:adjustRightInd w:val="0"/>
      <w:ind w:firstLine="0"/>
    </w:pPr>
    <w:rPr>
      <w:rFonts w:ascii="Arial" w:eastAsiaTheme="minorEastAsia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2024-04-24T20:00:00+00:00</dateaddindb>
    <dateminusta xmlns="081b8c99-5a1b-4ba1-9a3e-0d0cea83319e" xsi:nil="true"/>
    <numik xmlns="af44e648-6311-40f1-ad37-1234555fd9ba">388</numik>
    <kind xmlns="e2080b48-eafa-461e-b501-38555d38caa1">79</kind>
    <num xmlns="af44e648-6311-40f1-ad37-1234555fd9ba">388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«Создание условий для эффективного управления региональными и муниципальными финансами в Ярославской области» на 2024 – 2030 годы и о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388-п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B8E0A-8201-4140-9600-145EC1C7D1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a853e5a8-fa1e-4dd3-a1b5-1604bfb35b05"/>
    <ds:schemaRef ds:uri="e2080b48-eafa-461e-b501-38555d38caa1"/>
    <ds:schemaRef ds:uri="1e82c985-6cf2-4d43-b8b5-a430af7accc6"/>
    <ds:schemaRef ds:uri="bc1d99f4-2047-4b43-99f0-e8f2a593a624"/>
    <ds:schemaRef ds:uri="http://schemas.microsoft.com/office/2006/metadata/properties"/>
    <ds:schemaRef ds:uri="05bb7913-6745-425b-9415-f9dbd3e56b95"/>
    <ds:schemaRef ds:uri="http://purl.org/dc/elements/1.1/"/>
    <ds:schemaRef ds:uri="67a9cb4f-e58d-445a-8e0b-2b8d792f9e38"/>
    <ds:schemaRef ds:uri="5256eb8c-d5dd-498a-ad6f-7fa801666f9a"/>
    <ds:schemaRef ds:uri="http://schemas.microsoft.com/office/infopath/2007/PartnerControls"/>
    <ds:schemaRef ds:uri="http://purl.org/dc/dcmitype/"/>
    <ds:schemaRef ds:uri="http://purl.org/dc/terms/"/>
    <ds:schemaRef ds:uri="081b8c99-5a1b-4ba1-9a3e-0d0cea83319e"/>
    <ds:schemaRef ds:uri="af44e648-6311-40f1-ad37-1234555fd9ba"/>
  </ds:schemaRefs>
</ds:datastoreItem>
</file>

<file path=customXml/itemProps4.xml><?xml version="1.0" encoding="utf-8"?>
<ds:datastoreItem xmlns:ds="http://schemas.openxmlformats.org/officeDocument/2006/customXml" ds:itemID="{F47C9C63-091D-4E10-A3E2-096BEA2C1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0</TotalTime>
  <Pages>14</Pages>
  <Words>2228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Сударева Евгения Александровна</dc:creator>
  <cp:keywords/>
  <dc:description/>
  <cp:lastModifiedBy>Новожилова Татьяна Николаевна</cp:lastModifiedBy>
  <cp:revision>2</cp:revision>
  <cp:lastPrinted>2024-10-28T12:52:00Z</cp:lastPrinted>
  <dcterms:created xsi:type="dcterms:W3CDTF">2024-10-30T05:47:00Z</dcterms:created>
  <dcterms:modified xsi:type="dcterms:W3CDTF">2024-10-30T05:47:00Z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01.03.2021 № 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