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475" w:rsidRDefault="00351475" w:rsidP="00351475">
      <w:pPr>
        <w:widowControl/>
        <w:autoSpaceDE/>
        <w:autoSpaceDN/>
        <w:adjustRightInd/>
        <w:jc w:val="right"/>
        <w:outlineLvl w:val="2"/>
        <w:rPr>
          <w:rFonts w:ascii="Times New Roman" w:eastAsia="Times New Roman" w:hAnsi="Times New Roman" w:cs="Times New Roman"/>
          <w:sz w:val="28"/>
          <w:szCs w:val="28"/>
          <w:lang w:eastAsia="x-none"/>
        </w:rPr>
      </w:pPr>
      <w:r w:rsidRPr="00351475">
        <w:rPr>
          <w:rFonts w:ascii="Times New Roman" w:eastAsia="Times New Roman" w:hAnsi="Times New Roman" w:cs="Times New Roman"/>
          <w:sz w:val="28"/>
          <w:szCs w:val="28"/>
          <w:lang w:eastAsia="x-none"/>
        </w:rPr>
        <w:t>ПРОЕКТ</w:t>
      </w:r>
    </w:p>
    <w:p w:rsidR="00351475" w:rsidRPr="00351475" w:rsidRDefault="00351475" w:rsidP="00351475">
      <w:pPr>
        <w:widowControl/>
        <w:autoSpaceDE/>
        <w:autoSpaceDN/>
        <w:adjustRightInd/>
        <w:jc w:val="right"/>
        <w:outlineLvl w:val="2"/>
        <w:rPr>
          <w:rFonts w:ascii="Times New Roman" w:eastAsia="Times New Roman" w:hAnsi="Times New Roman" w:cs="Times New Roman"/>
          <w:sz w:val="28"/>
          <w:szCs w:val="28"/>
          <w:lang w:eastAsia="x-none"/>
        </w:rPr>
      </w:pPr>
    </w:p>
    <w:p w:rsidR="0026582A" w:rsidRPr="009951CA" w:rsidRDefault="002674F5" w:rsidP="0026582A">
      <w:pPr>
        <w:widowControl/>
        <w:autoSpaceDE/>
        <w:autoSpaceDN/>
        <w:adjustRightInd/>
        <w:jc w:val="center"/>
        <w:outlineLvl w:val="2"/>
        <w:rPr>
          <w:rFonts w:ascii="Times New Roman" w:eastAsia="Times New Roman" w:hAnsi="Times New Roman" w:cs="Times New Roman"/>
          <w:b/>
          <w:sz w:val="28"/>
          <w:szCs w:val="28"/>
          <w:lang w:val="x-none" w:eastAsia="x-none"/>
        </w:rPr>
      </w:pPr>
      <w:bookmarkStart w:id="0" w:name="_GoBack"/>
      <w:r w:rsidRPr="009951CA">
        <w:rPr>
          <w:rFonts w:ascii="Times New Roman" w:eastAsia="Times New Roman" w:hAnsi="Times New Roman" w:cs="Times New Roman"/>
          <w:b/>
          <w:sz w:val="28"/>
          <w:szCs w:val="28"/>
          <w:lang w:val="x-none" w:eastAsia="x-none"/>
        </w:rPr>
        <w:t>МЕТОДИКА</w:t>
      </w:r>
    </w:p>
    <w:p w:rsidR="0026582A" w:rsidRPr="009951CA" w:rsidRDefault="002674F5" w:rsidP="0026582A">
      <w:pPr>
        <w:widowControl/>
        <w:autoSpaceDE/>
        <w:autoSpaceDN/>
        <w:adjustRightInd/>
        <w:jc w:val="center"/>
        <w:outlineLvl w:val="2"/>
        <w:rPr>
          <w:rFonts w:ascii="Times New Roman" w:eastAsia="Times New Roman" w:hAnsi="Times New Roman" w:cs="Times New Roman"/>
          <w:b/>
          <w:sz w:val="28"/>
          <w:szCs w:val="28"/>
          <w:lang w:eastAsia="x-none"/>
        </w:rPr>
      </w:pPr>
      <w:r w:rsidRPr="009951CA">
        <w:rPr>
          <w:rFonts w:ascii="Times New Roman" w:eastAsia="Times New Roman" w:hAnsi="Times New Roman" w:cs="Times New Roman"/>
          <w:b/>
          <w:sz w:val="28"/>
          <w:szCs w:val="28"/>
          <w:lang w:val="x-none" w:eastAsia="x-none"/>
        </w:rPr>
        <w:t>ПРЕДОСТАВЛЕНИЯ И РАСПРЕДЕЛЕНИЯ СУБСИДИ</w:t>
      </w:r>
      <w:r w:rsidRPr="009951CA">
        <w:rPr>
          <w:rFonts w:ascii="Times New Roman" w:eastAsia="Times New Roman" w:hAnsi="Times New Roman" w:cs="Times New Roman"/>
          <w:b/>
          <w:sz w:val="28"/>
          <w:szCs w:val="28"/>
          <w:lang w:eastAsia="x-none"/>
        </w:rPr>
        <w:t xml:space="preserve">И </w:t>
      </w:r>
      <w:r w:rsidRPr="009951CA">
        <w:rPr>
          <w:rFonts w:ascii="Times New Roman" w:eastAsia="Times New Roman" w:hAnsi="Times New Roman" w:cs="Times New Roman"/>
          <w:b/>
          <w:sz w:val="28"/>
          <w:szCs w:val="28"/>
          <w:lang w:val="x-none" w:eastAsia="x-none"/>
        </w:rPr>
        <w:t xml:space="preserve">НА </w:t>
      </w:r>
      <w:r w:rsidRPr="009951CA">
        <w:rPr>
          <w:rFonts w:ascii="Times New Roman" w:eastAsia="Times New Roman" w:hAnsi="Times New Roman" w:cs="Times New Roman"/>
          <w:b/>
          <w:sz w:val="28"/>
          <w:szCs w:val="28"/>
          <w:lang w:eastAsia="x-none"/>
        </w:rPr>
        <w:t>ПЕРЕСЕЛЕНИЕ</w:t>
      </w:r>
      <w:r w:rsidRPr="009951CA">
        <w:rPr>
          <w:rFonts w:ascii="Times New Roman" w:eastAsia="Times New Roman" w:hAnsi="Times New Roman" w:cs="Times New Roman"/>
          <w:b/>
          <w:sz w:val="28"/>
          <w:szCs w:val="28"/>
          <w:lang w:val="x-none" w:eastAsia="x-none"/>
        </w:rPr>
        <w:t xml:space="preserve"> ГРАЖДАН ИЗ ЖИЛИЩНОГО ФОНДА, ПРИЗНАННОГО НЕПРИГОДНЫМ ДЛЯ ПРОЖИВАНИЯ, И (ИЛИ)</w:t>
      </w:r>
      <w:r w:rsidRPr="009951CA">
        <w:rPr>
          <w:rFonts w:ascii="Times New Roman" w:eastAsia="Times New Roman" w:hAnsi="Times New Roman" w:cs="Times New Roman"/>
          <w:b/>
          <w:sz w:val="28"/>
          <w:szCs w:val="28"/>
          <w:lang w:eastAsia="x-none"/>
        </w:rPr>
        <w:t xml:space="preserve"> ЖИЛИЩНОГО ФОНДА</w:t>
      </w:r>
      <w:r w:rsidRPr="009951CA">
        <w:rPr>
          <w:rFonts w:ascii="Times New Roman" w:eastAsia="Times New Roman" w:hAnsi="Times New Roman" w:cs="Times New Roman"/>
          <w:b/>
          <w:sz w:val="28"/>
          <w:szCs w:val="28"/>
          <w:lang w:val="x-none" w:eastAsia="x-none"/>
        </w:rPr>
        <w:t xml:space="preserve"> С ВЫСОКИМ УРОВНЕМ ИЗНОСА</w:t>
      </w:r>
    </w:p>
    <w:bookmarkEnd w:id="0"/>
    <w:p w:rsidR="0026582A" w:rsidRPr="004E5763" w:rsidRDefault="0026582A" w:rsidP="0026582A">
      <w:pPr>
        <w:jc w:val="both"/>
        <w:rPr>
          <w:rFonts w:ascii="Times New Roman" w:eastAsia="Times New Roman" w:hAnsi="Times New Roman" w:cs="Times New Roman"/>
          <w:sz w:val="24"/>
          <w:szCs w:val="28"/>
          <w:lang w:eastAsia="en-US"/>
        </w:rPr>
      </w:pP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 </w:t>
      </w:r>
      <w:proofErr w:type="gramStart"/>
      <w:r w:rsidRPr="004E5763">
        <w:rPr>
          <w:rFonts w:ascii="Times New Roman" w:eastAsia="Times New Roman" w:hAnsi="Times New Roman" w:cs="Times New Roman"/>
          <w:sz w:val="28"/>
          <w:szCs w:val="28"/>
          <w:lang w:eastAsia="en-US"/>
        </w:rPr>
        <w:t>Методика предоставления и распределения субсидии на переселение граждан из жилищного фонда, признанного непригодным для проживания, и (или) жилищного фонда с высоким уровнем износа (далее – Методика) определяет механизм и условия предоставления из областного бюджета муниципальным образованиям области субсидий на переселение граждан из жилищного фонда, признанного непригодным для проживания, и (или) жилищного фонда с высоким уровнем износа (далее – субсидии) в рамках региональной</w:t>
      </w:r>
      <w:proofErr w:type="gramEnd"/>
      <w:r w:rsidRPr="004E5763">
        <w:rPr>
          <w:rFonts w:ascii="Times New Roman" w:eastAsia="Times New Roman" w:hAnsi="Times New Roman" w:cs="Times New Roman"/>
          <w:sz w:val="28"/>
          <w:szCs w:val="28"/>
          <w:lang w:eastAsia="en-US"/>
        </w:rPr>
        <w:t xml:space="preserve"> программы «Стимулирование развития жилищного строительства на территории Ярославской области» на 2011 – 2020 годы (далее – Программа), исполнения вступивших в законную силу решений суда о предоставлении благоустроенных жилых помещений (выплате выкупной цены).</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2. </w:t>
      </w:r>
      <w:proofErr w:type="gramStart"/>
      <w:r w:rsidRPr="004E5763">
        <w:rPr>
          <w:rFonts w:ascii="Times New Roman" w:eastAsia="Times New Roman" w:hAnsi="Times New Roman" w:cs="Times New Roman"/>
          <w:sz w:val="28"/>
          <w:szCs w:val="28"/>
          <w:lang w:eastAsia="en-US"/>
        </w:rPr>
        <w:t>Субсидии предоставляются муниципальным образованиям области, участвующим в задаче по переселению граждан из жилищного фонда, признанного непригодным для проживания, и (или) жилищного фонда с высоким уровнем износа» региональной программы «Стимулирование развития жилищного строительства на территории Ярославской области» на 2011 – 2020 годы (далее – задача), в рамках установленных законом об областном бюджете бюджетных ассигнований на текущий финансовый год.</w:t>
      </w:r>
      <w:proofErr w:type="gramEnd"/>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Критериями отбора муниципальных образований области для предоставления субсидий являются: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наличие на территории муниципального образования области жилищного фонда, признанного непригодным для проживания, и (или) жилищного фонда с высоким уровнем износа;</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наличие на территории муниципального образования области вступивших в законную силу решений суда о предоставлении благоустроенных жилых помещений (выплате выкупной цены);</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наличие на территории муниципального образования области граждан, утративших единственное жилое помещение вследствие чрезвычайной ситуации природного или техногенного характера, пожара, при отсутствии противоправных действий со стороны граждан, утративших жилое помещение, в том числе не подлежащих учету в органах местного самоуправления муниципальных образований области в качестве малоимущих.</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3. Условия предоставления и расходования субсидий: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наличие разработанной и утвержденной муниципальной программы, на </w:t>
      </w:r>
      <w:proofErr w:type="spellStart"/>
      <w:r w:rsidRPr="004E5763">
        <w:rPr>
          <w:rFonts w:ascii="Times New Roman" w:eastAsia="Times New Roman" w:hAnsi="Times New Roman" w:cs="Times New Roman"/>
          <w:sz w:val="28"/>
          <w:szCs w:val="28"/>
          <w:lang w:eastAsia="en-US"/>
        </w:rPr>
        <w:t>софинансирование</w:t>
      </w:r>
      <w:proofErr w:type="spellEnd"/>
      <w:r w:rsidRPr="004E5763">
        <w:rPr>
          <w:rFonts w:ascii="Times New Roman" w:eastAsia="Times New Roman" w:hAnsi="Times New Roman" w:cs="Times New Roman"/>
          <w:sz w:val="28"/>
          <w:szCs w:val="28"/>
          <w:lang w:eastAsia="en-US"/>
        </w:rPr>
        <w:t xml:space="preserve"> мероприятий которой предоставляются субсидии, а </w:t>
      </w:r>
      <w:r w:rsidRPr="004E5763">
        <w:rPr>
          <w:rFonts w:ascii="Times New Roman" w:eastAsia="Times New Roman" w:hAnsi="Times New Roman" w:cs="Times New Roman"/>
          <w:sz w:val="28"/>
          <w:szCs w:val="28"/>
          <w:lang w:eastAsia="en-US"/>
        </w:rPr>
        <w:lastRenderedPageBreak/>
        <w:t>также соответствие мероприятий муниципальной программы требованиям Программы;</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наличие заявок муниципальных образований области на реализацию мероприятий задачи путем приобретения жилья в муниципальную собственность, в том числе в строящихся домах, долевого участия в строительстве или строительства домов;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pacing w:val="-2"/>
          <w:sz w:val="28"/>
          <w:szCs w:val="28"/>
          <w:lang w:eastAsia="en-US"/>
        </w:rPr>
      </w:pPr>
      <w:r w:rsidRPr="004E5763">
        <w:rPr>
          <w:rFonts w:ascii="Times New Roman" w:eastAsia="Times New Roman" w:hAnsi="Times New Roman" w:cs="Times New Roman"/>
          <w:spacing w:val="-2"/>
          <w:sz w:val="28"/>
          <w:szCs w:val="28"/>
          <w:lang w:eastAsia="en-US"/>
        </w:rPr>
        <w:t xml:space="preserve">- наличие в местном бюджете ассигнований на реализацию мероприятий задачи с обеспечением уровня </w:t>
      </w:r>
      <w:proofErr w:type="spellStart"/>
      <w:r w:rsidRPr="004E5763">
        <w:rPr>
          <w:rFonts w:ascii="Times New Roman" w:eastAsia="Times New Roman" w:hAnsi="Times New Roman" w:cs="Times New Roman"/>
          <w:spacing w:val="-2"/>
          <w:sz w:val="28"/>
          <w:szCs w:val="28"/>
          <w:lang w:eastAsia="en-US"/>
        </w:rPr>
        <w:t>софинансирования</w:t>
      </w:r>
      <w:proofErr w:type="spellEnd"/>
      <w:r w:rsidRPr="004E5763">
        <w:rPr>
          <w:rFonts w:ascii="Times New Roman" w:eastAsia="Times New Roman" w:hAnsi="Times New Roman" w:cs="Times New Roman"/>
          <w:spacing w:val="-2"/>
          <w:sz w:val="28"/>
          <w:szCs w:val="28"/>
          <w:lang w:eastAsia="en-US"/>
        </w:rPr>
        <w:t>, установленного Методикой;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наличие подписанного с муниципальным образованием области соглашения о предоставлении субсидии (далее – соглашение), заключенного до 01 октября текущего финансового года по форме, утверждаемой департаментом строительства Ярославской области (далее – ДС);</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соблюдение целевых направлений расходования субсидии, установленных Методикой;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выполнение обязательств по достижению значений показателей результативности исполнения субсидии, установленных соглашением;</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наличие в муниципальном образовании области реестра судебных решений по дате вступления их в законную силу; </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представление реестра муниципальных контрактов с копиями соответствующих контрактов;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выполнение требований к срокам, порядку и формам представления отчетности об использовании субсидии, содержащихся в соглашении, а также в пункте 18 Методики;</w:t>
      </w:r>
    </w:p>
    <w:p w:rsidR="0026582A" w:rsidRPr="004E5763" w:rsidRDefault="0026582A" w:rsidP="0026582A">
      <w:pPr>
        <w:widowControl/>
        <w:autoSpaceDE/>
        <w:autoSpaceDN/>
        <w:adjustRightInd/>
        <w:ind w:firstLine="709"/>
        <w:jc w:val="both"/>
        <w:rPr>
          <w:rFonts w:ascii="Times New Roman" w:eastAsia="Times New Roman" w:hAnsi="Times New Roman" w:cs="Times New Roman"/>
          <w:spacing w:val="-2"/>
          <w:sz w:val="28"/>
          <w:szCs w:val="28"/>
          <w:lang w:eastAsia="en-US"/>
        </w:rPr>
      </w:pPr>
      <w:r w:rsidRPr="004E5763">
        <w:rPr>
          <w:rFonts w:ascii="Times New Roman" w:eastAsia="Times New Roman" w:hAnsi="Times New Roman" w:cs="Times New Roman"/>
          <w:spacing w:val="-2"/>
          <w:sz w:val="28"/>
          <w:szCs w:val="28"/>
          <w:lang w:eastAsia="en-US"/>
        </w:rPr>
        <w:t>- возврат в доход областного бюджета средств, источником финансового обеспечения которых является финансовая поддержка областного бюджета, при невыполнении обязательств по достижению значений показателей результативности реализации субсидии, по соблюдению графика выполнения работ.</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4. Органы местного самоуправления городских (сельских) поселений области вправе заключать соглашение с муниципальными районами области о передаче полномочий по реализации мероприятий задачи с соответствующим финансовым обеспечением в форме иных межбюджетных трансфертов.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5. Размер субсидии определен с учетом объема средств, предусмотренных областным бюджетом, и выполнения муниципальными образованиями области условий задачи в части приобретения жилья в муниципальную собственность, в том числе в строящихся домах, долевого участия в строительстве или строительства домов.</w:t>
      </w:r>
      <w:r w:rsidR="007C3767">
        <w:rPr>
          <w:rFonts w:ascii="Times New Roman" w:eastAsia="Times New Roman" w:hAnsi="Times New Roman" w:cs="Times New Roman"/>
          <w:sz w:val="28"/>
          <w:szCs w:val="28"/>
          <w:lang w:eastAsia="en-US"/>
        </w:rPr>
        <w:t xml:space="preserve">                                        </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Размер субсидии определяется исходя из установленной доли </w:t>
      </w:r>
      <w:proofErr w:type="spellStart"/>
      <w:r w:rsidRPr="004E5763">
        <w:rPr>
          <w:rFonts w:ascii="Times New Roman" w:eastAsia="Times New Roman" w:hAnsi="Times New Roman" w:cs="Times New Roman"/>
          <w:sz w:val="28"/>
          <w:szCs w:val="28"/>
          <w:lang w:eastAsia="en-US"/>
        </w:rPr>
        <w:t>софинансирования</w:t>
      </w:r>
      <w:proofErr w:type="spellEnd"/>
      <w:r w:rsidRPr="004E5763">
        <w:rPr>
          <w:rFonts w:ascii="Times New Roman" w:eastAsia="Times New Roman" w:hAnsi="Times New Roman" w:cs="Times New Roman"/>
          <w:sz w:val="28"/>
          <w:szCs w:val="28"/>
          <w:lang w:eastAsia="en-US"/>
        </w:rPr>
        <w:t xml:space="preserve"> областного и местных бюджетов, общей площади предоставляемых жилых помещений и способа переселения.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Размер субсидии муниципальному образованию области (</w:t>
      </w:r>
      <w:proofErr w:type="spellStart"/>
      <w:r w:rsidRPr="004E5763">
        <w:rPr>
          <w:rFonts w:ascii="Times New Roman" w:eastAsia="Times New Roman" w:hAnsi="Times New Roman" w:cs="Times New Roman"/>
          <w:sz w:val="28"/>
          <w:szCs w:val="28"/>
          <w:lang w:eastAsia="en-US"/>
        </w:rPr>
        <w:t>Смр</w:t>
      </w:r>
      <w:proofErr w:type="spellEnd"/>
      <w:r w:rsidRPr="004E5763">
        <w:rPr>
          <w:rFonts w:ascii="Times New Roman" w:eastAsia="Times New Roman" w:hAnsi="Times New Roman" w:cs="Times New Roman"/>
          <w:sz w:val="28"/>
          <w:szCs w:val="28"/>
          <w:lang w:eastAsia="en-US"/>
        </w:rPr>
        <w:t>) определяется ДС по следующей формуле: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0"/>
          <w:szCs w:val="28"/>
          <w:lang w:eastAsia="en-US"/>
        </w:rPr>
      </w:pPr>
    </w:p>
    <w:p w:rsidR="0026582A" w:rsidRPr="004E5763" w:rsidRDefault="0026582A" w:rsidP="0026582A">
      <w:pPr>
        <w:widowControl/>
        <w:autoSpaceDE/>
        <w:autoSpaceDN/>
        <w:adjustRightInd/>
        <w:jc w:val="center"/>
        <w:rPr>
          <w:rFonts w:ascii="Times New Roman" w:eastAsia="Times New Roman" w:hAnsi="Times New Roman" w:cs="Times New Roman"/>
          <w:sz w:val="28"/>
          <w:szCs w:val="28"/>
          <w:lang w:eastAsia="en-US"/>
        </w:rPr>
      </w:pPr>
      <w:proofErr w:type="spellStart"/>
      <w:r w:rsidRPr="004E5763">
        <w:rPr>
          <w:rFonts w:ascii="Times New Roman" w:eastAsia="Times New Roman" w:hAnsi="Times New Roman" w:cs="Times New Roman"/>
          <w:sz w:val="28"/>
          <w:szCs w:val="28"/>
          <w:lang w:eastAsia="en-US"/>
        </w:rPr>
        <w:t>С</w:t>
      </w:r>
      <w:r w:rsidRPr="004E5763">
        <w:rPr>
          <w:rFonts w:ascii="Times New Roman" w:eastAsia="Times New Roman" w:hAnsi="Times New Roman" w:cs="Times New Roman"/>
          <w:sz w:val="28"/>
          <w:szCs w:val="28"/>
          <w:vertAlign w:val="subscript"/>
          <w:lang w:eastAsia="en-US"/>
        </w:rPr>
        <w:t>мр</w:t>
      </w:r>
      <w:proofErr w:type="spell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val="en-US" w:eastAsia="en-US"/>
        </w:rPr>
        <w:t>S</w:t>
      </w:r>
      <w:proofErr w:type="spellStart"/>
      <w:proofErr w:type="gramEnd"/>
      <w:r w:rsidRPr="004E5763">
        <w:rPr>
          <w:rFonts w:ascii="Times New Roman" w:eastAsia="Times New Roman" w:hAnsi="Times New Roman" w:cs="Times New Roman"/>
          <w:sz w:val="28"/>
          <w:szCs w:val="28"/>
          <w:vertAlign w:val="subscript"/>
          <w:lang w:eastAsia="en-US"/>
        </w:rPr>
        <w:t>жп</w:t>
      </w:r>
      <w:proofErr w:type="spellEnd"/>
      <w:r w:rsidRPr="004E5763">
        <w:rPr>
          <w:rFonts w:ascii="Times New Roman" w:eastAsia="Times New Roman" w:hAnsi="Times New Roman" w:cs="Times New Roman"/>
          <w:sz w:val="28"/>
          <w:szCs w:val="28"/>
          <w:lang w:eastAsia="en-US"/>
        </w:rPr>
        <w:t xml:space="preserve"> × </w:t>
      </w:r>
      <w:proofErr w:type="spellStart"/>
      <w:r w:rsidRPr="004E5763">
        <w:rPr>
          <w:rFonts w:ascii="Times New Roman" w:eastAsia="Times New Roman" w:hAnsi="Times New Roman" w:cs="Times New Roman"/>
          <w:sz w:val="28"/>
          <w:szCs w:val="28"/>
          <w:lang w:eastAsia="en-US"/>
        </w:rPr>
        <w:t>П</w:t>
      </w:r>
      <w:r w:rsidRPr="004E5763">
        <w:rPr>
          <w:rFonts w:ascii="Times New Roman" w:eastAsia="Times New Roman" w:hAnsi="Times New Roman" w:cs="Times New Roman"/>
          <w:sz w:val="28"/>
          <w:szCs w:val="28"/>
          <w:vertAlign w:val="subscript"/>
          <w:lang w:eastAsia="en-US"/>
        </w:rPr>
        <w:t>ст</w:t>
      </w:r>
      <w:proofErr w:type="spellEnd"/>
      <w:r w:rsidRPr="004E5763">
        <w:rPr>
          <w:rFonts w:ascii="Times New Roman" w:eastAsia="Times New Roman" w:hAnsi="Times New Roman" w:cs="Times New Roman"/>
          <w:sz w:val="28"/>
          <w:szCs w:val="28"/>
          <w:lang w:eastAsia="en-US"/>
        </w:rPr>
        <w:t xml:space="preserve"> ×</w:t>
      </w:r>
      <w:r w:rsidRPr="004E5763">
        <w:rPr>
          <w:rFonts w:ascii="Times New Roman" w:eastAsia="Times New Roman" w:hAnsi="Times New Roman" w:cs="Times New Roman"/>
          <w:sz w:val="28"/>
          <w:szCs w:val="28"/>
          <w:lang w:val="en-US" w:eastAsia="en-US"/>
        </w:rPr>
        <w:t>Y</w:t>
      </w:r>
      <w:r w:rsidRPr="004E5763">
        <w:rPr>
          <w:rFonts w:ascii="Times New Roman" w:eastAsia="Times New Roman" w:hAnsi="Times New Roman" w:cs="Times New Roman"/>
          <w:sz w:val="28"/>
          <w:szCs w:val="28"/>
          <w:lang w:eastAsia="en-US"/>
        </w:rPr>
        <w:t>,</w:t>
      </w:r>
    </w:p>
    <w:p w:rsidR="0026582A" w:rsidRPr="004E5763" w:rsidRDefault="0026582A" w:rsidP="0026582A">
      <w:pPr>
        <w:widowControl/>
        <w:autoSpaceDE/>
        <w:autoSpaceDN/>
        <w:adjustRightInd/>
        <w:ind w:firstLine="709"/>
        <w:rPr>
          <w:rFonts w:ascii="Times New Roman" w:eastAsia="Times New Roman" w:hAnsi="Times New Roman" w:cs="Times New Roman"/>
          <w:sz w:val="16"/>
          <w:szCs w:val="28"/>
          <w:lang w:eastAsia="en-US"/>
        </w:rPr>
      </w:pPr>
    </w:p>
    <w:p w:rsidR="0026582A" w:rsidRPr="004E5763" w:rsidRDefault="0026582A" w:rsidP="0026582A">
      <w:pPr>
        <w:widowControl/>
        <w:autoSpaceDE/>
        <w:autoSpaceDN/>
        <w:adjustRightInd/>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где: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val="en-US" w:eastAsia="en-US"/>
        </w:rPr>
        <w:t>S</w:t>
      </w:r>
      <w:proofErr w:type="spellStart"/>
      <w:r w:rsidRPr="004E5763">
        <w:rPr>
          <w:rFonts w:ascii="Times New Roman" w:eastAsia="Times New Roman" w:hAnsi="Times New Roman" w:cs="Times New Roman"/>
          <w:sz w:val="28"/>
          <w:szCs w:val="28"/>
          <w:vertAlign w:val="subscript"/>
          <w:lang w:eastAsia="en-US"/>
        </w:rPr>
        <w:t>жп</w:t>
      </w:r>
      <w:proofErr w:type="spellEnd"/>
      <w:r w:rsidRPr="004E5763">
        <w:rPr>
          <w:rFonts w:ascii="Times New Roman" w:eastAsia="Times New Roman" w:hAnsi="Times New Roman" w:cs="Times New Roman"/>
          <w:sz w:val="28"/>
          <w:szCs w:val="28"/>
          <w:lang w:eastAsia="en-US"/>
        </w:rPr>
        <w:t xml:space="preserve"> – общая площадь жилых помещений, подлежащих предоставлению гражданам (кв. м) в соответствии с вступившими в законную силу решениями судов о предоставлении благоустроенных жилых помещений (выплате выкупной цены), а также гражданам, утратившим единственное жилое помещение вследствие чрезвычайной ситуации природного или техногенного характера, пожара, при отсутствии противоправных действий со стороны граждан, утративших жилое помещение, в том числе не подлежащим учету в органах местного самоуправления муниципальных образований области в качестве малоимущих;</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proofErr w:type="spellStart"/>
      <w:r w:rsidRPr="004E5763">
        <w:rPr>
          <w:rFonts w:ascii="Times New Roman" w:eastAsia="Times New Roman" w:hAnsi="Times New Roman" w:cs="Times New Roman"/>
          <w:sz w:val="28"/>
          <w:szCs w:val="28"/>
          <w:lang w:eastAsia="en-US"/>
        </w:rPr>
        <w:t>П</w:t>
      </w:r>
      <w:r w:rsidRPr="004E5763">
        <w:rPr>
          <w:rFonts w:ascii="Times New Roman" w:eastAsia="Times New Roman" w:hAnsi="Times New Roman" w:cs="Times New Roman"/>
          <w:sz w:val="28"/>
          <w:szCs w:val="28"/>
          <w:vertAlign w:val="subscript"/>
          <w:lang w:eastAsia="en-US"/>
        </w:rPr>
        <w:t>ст</w:t>
      </w:r>
      <w:proofErr w:type="spellEnd"/>
      <w:r w:rsidRPr="004E5763">
        <w:rPr>
          <w:rFonts w:ascii="Times New Roman" w:eastAsia="Times New Roman" w:hAnsi="Times New Roman" w:cs="Times New Roman"/>
          <w:sz w:val="28"/>
          <w:szCs w:val="28"/>
          <w:lang w:eastAsia="en-US"/>
        </w:rPr>
        <w:t xml:space="preserve"> – предельная стоимость одного квадратного метра общей площади жилых помещений (тыс. руб.);</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val="en-US" w:eastAsia="en-US"/>
        </w:rPr>
        <w:t>Y</w:t>
      </w:r>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уровень</w:t>
      </w:r>
      <w:proofErr w:type="gramEnd"/>
      <w:r w:rsidRPr="004E5763">
        <w:rPr>
          <w:rFonts w:ascii="Times New Roman" w:eastAsia="Times New Roman" w:hAnsi="Times New Roman" w:cs="Times New Roman"/>
          <w:sz w:val="28"/>
          <w:szCs w:val="28"/>
          <w:lang w:eastAsia="en-US"/>
        </w:rPr>
        <w:t xml:space="preserve"> </w:t>
      </w:r>
      <w:proofErr w:type="spellStart"/>
      <w:r w:rsidRPr="004E5763">
        <w:rPr>
          <w:rFonts w:ascii="Times New Roman" w:eastAsia="Times New Roman" w:hAnsi="Times New Roman" w:cs="Times New Roman"/>
          <w:sz w:val="28"/>
          <w:szCs w:val="28"/>
          <w:lang w:eastAsia="en-US"/>
        </w:rPr>
        <w:t>софинансирования</w:t>
      </w:r>
      <w:proofErr w:type="spellEnd"/>
      <w:r w:rsidRPr="004E5763">
        <w:rPr>
          <w:rFonts w:ascii="Times New Roman" w:eastAsia="Times New Roman" w:hAnsi="Times New Roman" w:cs="Times New Roman"/>
          <w:sz w:val="28"/>
          <w:szCs w:val="28"/>
          <w:lang w:eastAsia="en-US"/>
        </w:rPr>
        <w:t xml:space="preserve"> расходов на реализацию мероприятий задачи за счет средств областного бюджета.</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Стоимость 1 квадратного метра общей площади изымаемого у собственника жилого помещения рассчитывается в соответствии с Методикой расчета стоимости 1 квадратного метра общей площади изымаемого у собственника жилого помещения, применяемой в целях расчета размера субсидии муниципальным образованиям области на реализацию задачи, приведенной в приложении 10 Программе.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Уровень </w:t>
      </w:r>
      <w:proofErr w:type="spellStart"/>
      <w:r w:rsidRPr="004E5763">
        <w:rPr>
          <w:rFonts w:ascii="Times New Roman" w:eastAsia="Times New Roman" w:hAnsi="Times New Roman" w:cs="Times New Roman"/>
          <w:sz w:val="28"/>
          <w:szCs w:val="28"/>
          <w:lang w:eastAsia="en-US"/>
        </w:rPr>
        <w:t>софинансирования</w:t>
      </w:r>
      <w:proofErr w:type="spellEnd"/>
      <w:r w:rsidRPr="004E5763">
        <w:rPr>
          <w:rFonts w:ascii="Times New Roman" w:eastAsia="Times New Roman" w:hAnsi="Times New Roman" w:cs="Times New Roman"/>
          <w:sz w:val="28"/>
          <w:szCs w:val="28"/>
          <w:lang w:eastAsia="en-US"/>
        </w:rPr>
        <w:t xml:space="preserve"> на 201</w:t>
      </w:r>
      <w:r w:rsidR="007C3767">
        <w:rPr>
          <w:rFonts w:ascii="Times New Roman" w:eastAsia="Times New Roman" w:hAnsi="Times New Roman" w:cs="Times New Roman"/>
          <w:sz w:val="28"/>
          <w:szCs w:val="28"/>
          <w:lang w:eastAsia="en-US"/>
        </w:rPr>
        <w:t>9</w:t>
      </w:r>
      <w:r w:rsidRPr="004E5763">
        <w:rPr>
          <w:rFonts w:ascii="Times New Roman" w:eastAsia="Times New Roman" w:hAnsi="Times New Roman" w:cs="Times New Roman"/>
          <w:sz w:val="28"/>
          <w:szCs w:val="28"/>
          <w:lang w:eastAsia="en-US"/>
        </w:rPr>
        <w:t xml:space="preserve"> год:</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не более 95 процентов – для сельских поселений;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не более 90 процентов – для городских поселений;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не более 85 процентов – для городских округов.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pacing w:val="-2"/>
          <w:sz w:val="28"/>
          <w:szCs w:val="28"/>
          <w:lang w:eastAsia="en-US"/>
        </w:rPr>
      </w:pPr>
      <w:r w:rsidRPr="004E5763">
        <w:rPr>
          <w:rFonts w:ascii="Times New Roman" w:eastAsia="Times New Roman" w:hAnsi="Times New Roman" w:cs="Times New Roman"/>
          <w:spacing w:val="-2"/>
          <w:sz w:val="28"/>
          <w:szCs w:val="28"/>
          <w:lang w:eastAsia="en-US"/>
        </w:rPr>
        <w:t>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при проведении конкурсных процедур соответствующими полномочиями на определение поставщиков (подрядчиков, исполнителей) для муниципальных заказчиков, устанавливается постановлением Правительства области от 27.04.2016 № 501-п «Об особенностях осуществления закупок, финансируемых за счет бюджета Ярославской области».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proofErr w:type="gramStart"/>
      <w:r w:rsidRPr="004E5763">
        <w:rPr>
          <w:rFonts w:ascii="Times New Roman" w:eastAsia="Times New Roman" w:hAnsi="Times New Roman" w:cs="Times New Roman"/>
          <w:sz w:val="28"/>
          <w:szCs w:val="28"/>
          <w:lang w:eastAsia="en-US"/>
        </w:rPr>
        <w:t>Взаимодействие заказчиков с департаментом государственного заказа Ярославской области при осуществлении закупок товаров, работ, услуг, финансовое обеспечение которых частично или полностью осуществляется за счет межбюджетных трансфертов в форме субсидий, главными распорядителями бюджетных средств по которым являются органы исполнительной власти Ярославской области, осуществляется в соответствии с Порядком взаимодействия заказчиков и департамента государственного заказа Ярославской области в рамках контрактной системы, утвержденным постановлением Правительства</w:t>
      </w:r>
      <w:proofErr w:type="gramEnd"/>
      <w:r w:rsidRPr="004E5763">
        <w:rPr>
          <w:rFonts w:ascii="Times New Roman" w:eastAsia="Times New Roman" w:hAnsi="Times New Roman" w:cs="Times New Roman"/>
          <w:sz w:val="28"/>
          <w:szCs w:val="28"/>
          <w:lang w:eastAsia="en-US"/>
        </w:rPr>
        <w:t xml:space="preserve"> области от 27.12.2013 № 1767-п «О реализации контрактной системы в сфере закупок товаров, работ, услуг и внесении изменений в постановление Администрации области от 23.12.2005 № 344».</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lastRenderedPageBreak/>
        <w:t>7. Распределение субсидий между муниципальными образованиями области отражено в приложении 9 к Программе. Указанное распределение средств утверждается ежегодно.</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8. Соглашение должно содержать положения, регулирующие порядок предоставления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предмет соглашения, размер субсидии, целевое назначение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условия предоставления субсидии, в том числе размер </w:t>
      </w:r>
      <w:proofErr w:type="spellStart"/>
      <w:r w:rsidRPr="004E5763">
        <w:rPr>
          <w:rFonts w:ascii="Times New Roman" w:eastAsia="Times New Roman" w:hAnsi="Times New Roman" w:cs="Times New Roman"/>
          <w:sz w:val="28"/>
          <w:szCs w:val="28"/>
          <w:lang w:eastAsia="en-US"/>
        </w:rPr>
        <w:t>софинансирования</w:t>
      </w:r>
      <w:proofErr w:type="spellEnd"/>
      <w:r w:rsidRPr="004E5763">
        <w:rPr>
          <w:rFonts w:ascii="Times New Roman" w:eastAsia="Times New Roman" w:hAnsi="Times New Roman" w:cs="Times New Roman"/>
          <w:sz w:val="28"/>
          <w:szCs w:val="28"/>
          <w:lang w:eastAsia="en-US"/>
        </w:rPr>
        <w:t xml:space="preserve"> из средств местного бюджета, целевые значения показателей результативности и уровня результативности и эффективности использования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права и обязанности сторон, в том числе обязанность получателя по достижению установленных соглашением показателей результативности и уровня результативности и эффективности использования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сроки и порядок представления отчетности об использовании субсидии, об исполнении условий предоставления субсидий, а также о результативности и эффективности использования субсидий;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порядок осуществления </w:t>
      </w:r>
      <w:proofErr w:type="gramStart"/>
      <w:r w:rsidRPr="004E5763">
        <w:rPr>
          <w:rFonts w:ascii="Times New Roman" w:eastAsia="Times New Roman" w:hAnsi="Times New Roman" w:cs="Times New Roman"/>
          <w:sz w:val="28"/>
          <w:szCs w:val="28"/>
          <w:lang w:eastAsia="en-US"/>
        </w:rPr>
        <w:t>контроля за</w:t>
      </w:r>
      <w:proofErr w:type="gramEnd"/>
      <w:r w:rsidRPr="004E5763">
        <w:rPr>
          <w:rFonts w:ascii="Times New Roman" w:eastAsia="Times New Roman" w:hAnsi="Times New Roman" w:cs="Times New Roman"/>
          <w:sz w:val="28"/>
          <w:szCs w:val="28"/>
          <w:lang w:eastAsia="en-US"/>
        </w:rPr>
        <w:t xml:space="preserve"> выполнением муниципальными образованиями Ярославской области обязательств, предусмотренных соглашением;</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последствия </w:t>
      </w:r>
      <w:proofErr w:type="spellStart"/>
      <w:r w:rsidRPr="004E5763">
        <w:rPr>
          <w:rFonts w:ascii="Times New Roman" w:eastAsia="Times New Roman" w:hAnsi="Times New Roman" w:cs="Times New Roman"/>
          <w:sz w:val="28"/>
          <w:szCs w:val="28"/>
          <w:lang w:eastAsia="en-US"/>
        </w:rPr>
        <w:t>недостижения</w:t>
      </w:r>
      <w:proofErr w:type="spellEnd"/>
      <w:r w:rsidRPr="004E5763">
        <w:rPr>
          <w:rFonts w:ascii="Times New Roman" w:eastAsia="Times New Roman" w:hAnsi="Times New Roman" w:cs="Times New Roman"/>
          <w:sz w:val="28"/>
          <w:szCs w:val="28"/>
          <w:lang w:eastAsia="en-US"/>
        </w:rPr>
        <w:t xml:space="preserve"> муниципальными образованиями Ярославской области установленных соглашением значений показателей результативности использования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возврат в доход областного бюджета средств, источником финансового обеспечения которых является финансовая поддержка из областного бюджета, при невыполнении обязательств по достижению значений показателей результативности реализации субсидии, по соблюдению графика выполнения работ.</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Формы соглашений утверждаются приказом ДС.</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Для заключения соглашения органы местного самоуправления муниципальных образований области представляют в ДС следующие документы:</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копия утвержденной муниципальной программы, на </w:t>
      </w:r>
      <w:proofErr w:type="spellStart"/>
      <w:r w:rsidRPr="004E5763">
        <w:rPr>
          <w:rFonts w:ascii="Times New Roman" w:eastAsia="Times New Roman" w:hAnsi="Times New Roman" w:cs="Times New Roman"/>
          <w:sz w:val="28"/>
          <w:szCs w:val="28"/>
          <w:lang w:eastAsia="en-US"/>
        </w:rPr>
        <w:t>софинансирование</w:t>
      </w:r>
      <w:proofErr w:type="spellEnd"/>
      <w:r w:rsidRPr="004E5763">
        <w:rPr>
          <w:rFonts w:ascii="Times New Roman" w:eastAsia="Times New Roman" w:hAnsi="Times New Roman" w:cs="Times New Roman"/>
          <w:sz w:val="28"/>
          <w:szCs w:val="28"/>
          <w:lang w:eastAsia="en-US"/>
        </w:rPr>
        <w:t xml:space="preserve"> мероприятий которой предоставляется субсидия;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w:t>
      </w:r>
      <w:proofErr w:type="gramStart"/>
      <w:r w:rsidRPr="004E5763">
        <w:rPr>
          <w:rFonts w:ascii="Times New Roman" w:eastAsia="Times New Roman" w:hAnsi="Times New Roman" w:cs="Times New Roman"/>
          <w:sz w:val="28"/>
          <w:szCs w:val="28"/>
          <w:lang w:eastAsia="en-US"/>
        </w:rPr>
        <w:t>обязательств органов местного самоуправления муниципальных образований области</w:t>
      </w:r>
      <w:proofErr w:type="gramEnd"/>
      <w:r w:rsidRPr="004E5763">
        <w:rPr>
          <w:rFonts w:ascii="Times New Roman" w:eastAsia="Times New Roman" w:hAnsi="Times New Roman" w:cs="Times New Roman"/>
          <w:sz w:val="28"/>
          <w:szCs w:val="28"/>
          <w:lang w:eastAsia="en-US"/>
        </w:rPr>
        <w:t>.</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9. </w:t>
      </w:r>
      <w:proofErr w:type="gramStart"/>
      <w:r w:rsidRPr="004E5763">
        <w:rPr>
          <w:rFonts w:ascii="Times New Roman" w:eastAsia="Times New Roman" w:hAnsi="Times New Roman" w:cs="Times New Roman"/>
          <w:sz w:val="28"/>
          <w:szCs w:val="28"/>
          <w:lang w:eastAsia="en-US"/>
        </w:rPr>
        <w:t>Предоставление субсидии осуществляется путем перечисления денежных средств в местный бюджет после представления муниципального контракта (договора) на приобретение в собственность муниципального образования области объекта недвижимого имущества, зарегистрированного в органе, осуществляющем государственный кадастровый учет и государственную регистрацию прав, в том числе в строящихся домах, долевого участия в строительстве или строительства домов, соглашения о выплате возмещения за жилое помещение в связи с изъятием</w:t>
      </w:r>
      <w:proofErr w:type="gramEnd"/>
      <w:r w:rsidRPr="004E5763">
        <w:rPr>
          <w:rFonts w:ascii="Times New Roman" w:eastAsia="Times New Roman" w:hAnsi="Times New Roman" w:cs="Times New Roman"/>
          <w:sz w:val="28"/>
          <w:szCs w:val="28"/>
          <w:lang w:eastAsia="en-US"/>
        </w:rPr>
        <w:t xml:space="preserve"> земельного участка для муниципальных нужд в соответствии со статьей 32 Жилищного кодекса Российской Федерации.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10. </w:t>
      </w:r>
      <w:proofErr w:type="gramStart"/>
      <w:r w:rsidRPr="004E5763">
        <w:rPr>
          <w:rFonts w:ascii="Times New Roman" w:eastAsia="Times New Roman" w:hAnsi="Times New Roman" w:cs="Times New Roman"/>
          <w:sz w:val="28"/>
          <w:szCs w:val="28"/>
          <w:lang w:eastAsia="en-US"/>
        </w:rPr>
        <w:t xml:space="preserve">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за счет средств областного бюджета не перечислена (частично или в полном объеме), при этом документы, в том числе подтверждающие </w:t>
      </w:r>
      <w:proofErr w:type="spellStart"/>
      <w:r w:rsidRPr="004E5763">
        <w:rPr>
          <w:rFonts w:ascii="Times New Roman" w:eastAsia="Times New Roman" w:hAnsi="Times New Roman" w:cs="Times New Roman"/>
          <w:sz w:val="28"/>
          <w:szCs w:val="28"/>
          <w:lang w:eastAsia="en-US"/>
        </w:rPr>
        <w:t>софинансирование</w:t>
      </w:r>
      <w:proofErr w:type="spellEnd"/>
      <w:r w:rsidRPr="004E5763">
        <w:rPr>
          <w:rFonts w:ascii="Times New Roman" w:eastAsia="Times New Roman" w:hAnsi="Times New Roman" w:cs="Times New Roman"/>
          <w:sz w:val="28"/>
          <w:szCs w:val="28"/>
          <w:lang w:eastAsia="en-US"/>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4E5763">
        <w:rPr>
          <w:rFonts w:ascii="Times New Roman" w:eastAsia="Times New Roman" w:hAnsi="Times New Roman" w:cs="Times New Roman"/>
          <w:sz w:val="28"/>
          <w:szCs w:val="28"/>
          <w:lang w:eastAsia="en-US"/>
        </w:rPr>
        <w:t>неперечисленный</w:t>
      </w:r>
      <w:proofErr w:type="spellEnd"/>
      <w:r w:rsidRPr="004E5763">
        <w:rPr>
          <w:rFonts w:ascii="Times New Roman" w:eastAsia="Times New Roman" w:hAnsi="Times New Roman" w:cs="Times New Roman"/>
          <w:sz w:val="28"/>
          <w:szCs w:val="28"/>
          <w:lang w:eastAsia="en-US"/>
        </w:rPr>
        <w:t xml:space="preserve"> объем</w:t>
      </w:r>
      <w:proofErr w:type="gramEnd"/>
      <w:r w:rsidRPr="004E5763">
        <w:rPr>
          <w:rFonts w:ascii="Times New Roman" w:eastAsia="Times New Roman" w:hAnsi="Times New Roman" w:cs="Times New Roman"/>
          <w:sz w:val="28"/>
          <w:szCs w:val="28"/>
          <w:lang w:eastAsia="en-US"/>
        </w:rPr>
        <w:t xml:space="preserve"> субсидии подлежит предоставлению в рамках лимитов бюджетных обязательств текущего финансового года.</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При заключении соглашения в текущем году на указанные цели повторного представления документов, подтверждающих </w:t>
      </w:r>
      <w:proofErr w:type="spellStart"/>
      <w:r w:rsidRPr="004E5763">
        <w:rPr>
          <w:rFonts w:ascii="Times New Roman" w:eastAsia="Times New Roman" w:hAnsi="Times New Roman" w:cs="Times New Roman"/>
          <w:sz w:val="28"/>
          <w:szCs w:val="28"/>
          <w:lang w:eastAsia="en-US"/>
        </w:rPr>
        <w:t>софинансирование</w:t>
      </w:r>
      <w:proofErr w:type="spellEnd"/>
      <w:r w:rsidRPr="004E5763">
        <w:rPr>
          <w:rFonts w:ascii="Times New Roman" w:eastAsia="Times New Roman" w:hAnsi="Times New Roman" w:cs="Times New Roman"/>
          <w:sz w:val="28"/>
          <w:szCs w:val="28"/>
          <w:lang w:eastAsia="en-US"/>
        </w:rPr>
        <w:t xml:space="preserve"> расходного обязательства за счет средств местного бюджета, не требуется.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11. В случае если по соглашению отчетного года показатели результативности использования субсидии достигнуты и в текущем году средства предоставляются на исполнение обязательств областного бюджета по </w:t>
      </w:r>
      <w:proofErr w:type="spellStart"/>
      <w:r w:rsidRPr="004E5763">
        <w:rPr>
          <w:rFonts w:ascii="Times New Roman" w:eastAsia="Times New Roman" w:hAnsi="Times New Roman" w:cs="Times New Roman"/>
          <w:sz w:val="28"/>
          <w:szCs w:val="28"/>
          <w:lang w:eastAsia="en-US"/>
        </w:rPr>
        <w:t>софинансированию</w:t>
      </w:r>
      <w:proofErr w:type="spellEnd"/>
      <w:r w:rsidRPr="004E5763">
        <w:rPr>
          <w:rFonts w:ascii="Times New Roman" w:eastAsia="Times New Roman" w:hAnsi="Times New Roman" w:cs="Times New Roman"/>
          <w:sz w:val="28"/>
          <w:szCs w:val="28"/>
          <w:lang w:eastAsia="en-US"/>
        </w:rPr>
        <w:t xml:space="preserve"> расходов местного бюджета прошлого года, в соглашении текущего года значения показателей результативности не устанавливаются.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Плановые значения основных показателей результативности на последующие годы будут устанавливаться при утверждении закона Ярославской области об областном бюджете на текущий год и на плановый период.</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При </w:t>
      </w:r>
      <w:proofErr w:type="spellStart"/>
      <w:r w:rsidRPr="004E5763">
        <w:rPr>
          <w:rFonts w:ascii="Times New Roman" w:eastAsia="Times New Roman" w:hAnsi="Times New Roman" w:cs="Times New Roman"/>
          <w:sz w:val="28"/>
          <w:szCs w:val="28"/>
          <w:lang w:eastAsia="en-US"/>
        </w:rPr>
        <w:t>недостижении</w:t>
      </w:r>
      <w:proofErr w:type="spellEnd"/>
      <w:r w:rsidRPr="004E5763">
        <w:rPr>
          <w:rFonts w:ascii="Times New Roman" w:eastAsia="Times New Roman" w:hAnsi="Times New Roman" w:cs="Times New Roman"/>
          <w:sz w:val="28"/>
          <w:szCs w:val="28"/>
          <w:lang w:eastAsia="en-US"/>
        </w:rPr>
        <w:t xml:space="preserve"> значений целевых показателей «Общая площадь расселенных жилых помещений», «Количество расселяемых граждан» муниципальное образование области обязуется по требованию ДС возвратить субсидию, полученную в сумме, исчисленной из расчета 2 000 (две тысячи) рублей за каждый день нарушения срока переселения граждан.</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12. Закупку товаров, работ и услуг при реализации задачи осуществляют муниципальные образования области в соответствии с Федеральным законом от 5 апреля 2013 года № 44-ФЗ «О контрактной системе в сфере закупок товаров, услуг для обеспечения государственных и муниципальных нужд».</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13. Авансирование работ путем долевого участия в строительстве или строительства домов может осуществляться в соответствии с заключенными муниципальными контрактами. Окончательный расчет производится на основании актов выполненных работ.</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14. Субсидия не предоставляется при невыполнении муниципальным образованием области условий предоставления и расходования субсидии.</w:t>
      </w:r>
    </w:p>
    <w:p w:rsidR="0026582A" w:rsidRPr="004E5763" w:rsidRDefault="0026582A" w:rsidP="0026582A">
      <w:pPr>
        <w:widowControl/>
        <w:autoSpaceDE/>
        <w:autoSpaceDN/>
        <w:adjustRightInd/>
        <w:ind w:firstLine="720"/>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15. Департамент финансов Ярославской области (далее – ДФ) по предложениям ДС принимает решение о приостановлении финансирования субсидии в случае непредставления в срок отчетов, указанных в пункте 18 Методики.</w:t>
      </w:r>
    </w:p>
    <w:p w:rsidR="0026582A" w:rsidRPr="004E5763" w:rsidRDefault="0026582A" w:rsidP="0026582A">
      <w:pPr>
        <w:widowControl/>
        <w:autoSpaceDE/>
        <w:autoSpaceDN/>
        <w:adjustRightInd/>
        <w:ind w:firstLine="720"/>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Отмена приостановления предоставления субсидии осуществляется ДФ при получении от ДС информации о представлении установленных отчетов.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16. Решение о сокращении предоставления субсидии принимается в случае несоблюдения условий </w:t>
      </w:r>
      <w:proofErr w:type="spellStart"/>
      <w:r w:rsidRPr="004E5763">
        <w:rPr>
          <w:rFonts w:ascii="Times New Roman" w:eastAsia="Times New Roman" w:hAnsi="Times New Roman" w:cs="Times New Roman"/>
          <w:sz w:val="28"/>
          <w:szCs w:val="28"/>
          <w:lang w:eastAsia="en-US"/>
        </w:rPr>
        <w:t>софинансирования</w:t>
      </w:r>
      <w:proofErr w:type="spellEnd"/>
      <w:r w:rsidRPr="004E5763">
        <w:rPr>
          <w:rFonts w:ascii="Times New Roman" w:eastAsia="Times New Roman" w:hAnsi="Times New Roman" w:cs="Times New Roman"/>
          <w:sz w:val="28"/>
          <w:szCs w:val="28"/>
          <w:lang w:eastAsia="en-US"/>
        </w:rPr>
        <w:t xml:space="preserve"> расходного обязательства муниципального образования области за счет средств местного бюджета </w:t>
      </w:r>
      <w:r w:rsidRPr="004E5763">
        <w:rPr>
          <w:rFonts w:ascii="Times New Roman" w:eastAsia="Calibri" w:hAnsi="Times New Roman" w:cs="Times New Roman"/>
          <w:sz w:val="28"/>
          <w:szCs w:val="28"/>
          <w:lang w:eastAsia="en-US"/>
        </w:rPr>
        <w:t>путем внесения изменений в Программу.</w:t>
      </w:r>
    </w:p>
    <w:p w:rsidR="0026582A" w:rsidRPr="004E5763" w:rsidRDefault="0026582A" w:rsidP="0026582A">
      <w:pPr>
        <w:widowControl/>
        <w:autoSpaceDE/>
        <w:autoSpaceDN/>
        <w:adjustRightInd/>
        <w:ind w:firstLine="709"/>
        <w:jc w:val="both"/>
        <w:rPr>
          <w:rFonts w:ascii="Times New Roman" w:eastAsia="Times New Roman" w:hAnsi="Times New Roman" w:cs="Times New Roman"/>
          <w:spacing w:val="-4"/>
          <w:sz w:val="28"/>
          <w:szCs w:val="28"/>
          <w:lang w:eastAsia="en-US"/>
        </w:rPr>
      </w:pPr>
      <w:r w:rsidRPr="004E5763">
        <w:rPr>
          <w:rFonts w:ascii="Times New Roman" w:eastAsia="Times New Roman" w:hAnsi="Times New Roman" w:cs="Times New Roman"/>
          <w:spacing w:val="-4"/>
          <w:sz w:val="28"/>
          <w:szCs w:val="28"/>
          <w:lang w:eastAsia="en-US"/>
        </w:rPr>
        <w:t>17. ДС уточняет и перераспределяет бюджетные ассигнования в рамках субсидии между муниципальными образованиями области с учетом фактического освоения средств на реализацию задачи, а также результативности и эффективности их использования соответствующим муниципальным образованием области с последующим уведомлением ДФ о произведенных изменениях.</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18. </w:t>
      </w:r>
      <w:proofErr w:type="gramStart"/>
      <w:r w:rsidRPr="004E5763">
        <w:rPr>
          <w:rFonts w:ascii="Times New Roman" w:eastAsia="Times New Roman" w:hAnsi="Times New Roman" w:cs="Times New Roman"/>
          <w:sz w:val="28"/>
          <w:szCs w:val="28"/>
          <w:lang w:eastAsia="en-US"/>
        </w:rPr>
        <w:t xml:space="preserve">Органы местного самоуправления муниципальных образований области представляют в ДС ежемесячно, в срок до 05 числа месяца, следующего за отчетным, отчет об использовании субсидии и </w:t>
      </w:r>
      <w:proofErr w:type="spellStart"/>
      <w:r w:rsidRPr="004E5763">
        <w:rPr>
          <w:rFonts w:ascii="Times New Roman" w:eastAsia="Times New Roman" w:hAnsi="Times New Roman" w:cs="Times New Roman"/>
          <w:sz w:val="28"/>
          <w:szCs w:val="28"/>
          <w:lang w:eastAsia="en-US"/>
        </w:rPr>
        <w:t>софинансировании</w:t>
      </w:r>
      <w:proofErr w:type="spellEnd"/>
      <w:r w:rsidRPr="004E5763">
        <w:rPr>
          <w:rFonts w:ascii="Times New Roman" w:eastAsia="Times New Roman" w:hAnsi="Times New Roman" w:cs="Times New Roman"/>
          <w:sz w:val="28"/>
          <w:szCs w:val="28"/>
          <w:lang w:eastAsia="en-US"/>
        </w:rPr>
        <w:t xml:space="preserve"> расходов местных бюджетов на реализацию задачи по форме 2 и отчет о реализации задачи по форме 3 согласно приложению 7 к Программе.</w:t>
      </w:r>
      <w:proofErr w:type="gramEnd"/>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19. Остаток субсидии, не использованной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4E5763">
        <w:rPr>
          <w:rFonts w:ascii="Times New Roman" w:eastAsia="Times New Roman" w:hAnsi="Times New Roman" w:cs="Times New Roman"/>
          <w:sz w:val="28"/>
          <w:szCs w:val="28"/>
          <w:lang w:eastAsia="en-US"/>
        </w:rPr>
        <w:t>на те</w:t>
      </w:r>
      <w:proofErr w:type="gramEnd"/>
      <w:r w:rsidRPr="004E5763">
        <w:rPr>
          <w:rFonts w:ascii="Times New Roman" w:eastAsia="Times New Roman" w:hAnsi="Times New Roman" w:cs="Times New Roman"/>
          <w:sz w:val="28"/>
          <w:szCs w:val="28"/>
          <w:lang w:eastAsia="en-US"/>
        </w:rPr>
        <w:t xml:space="preserve"> же цели в соответствии с пунктом 5 статьи 242 Бюджетного кодекса Российской Федерации. </w:t>
      </w:r>
      <w:proofErr w:type="gramStart"/>
      <w:r w:rsidRPr="004E5763">
        <w:rPr>
          <w:rFonts w:ascii="Times New Roman" w:eastAsia="Times New Roman" w:hAnsi="Times New Roman" w:cs="Times New Roman"/>
          <w:sz w:val="28"/>
          <w:szCs w:val="28"/>
          <w:lang w:eastAsia="en-US"/>
        </w:rPr>
        <w:t>ДС принимает решения о наличии (об отсутствии) потребности в неиспользованных остатках межбюджетных трансфертов в течение семи рабочих дней с момента получения документов,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утвержденного постановлением Правительства области от 03.02.2017 № 75-п «Об утверждении Порядка возврата межбюджетных трансфертов и принятия</w:t>
      </w:r>
      <w:proofErr w:type="gramEnd"/>
      <w:r w:rsidRPr="004E5763">
        <w:rPr>
          <w:rFonts w:ascii="Times New Roman" w:eastAsia="Times New Roman" w:hAnsi="Times New Roman" w:cs="Times New Roman"/>
          <w:sz w:val="28"/>
          <w:szCs w:val="28"/>
          <w:lang w:eastAsia="en-US"/>
        </w:rPr>
        <w:t xml:space="preserve"> главными администраторами средств областного бюджета решений о наличии (об отсутствии) потребности в межбюджетных трансфертах».</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При установлении отсутствия у муниципальных образований области потребности в субсидии остаток неиспользованных средств подлежит возврату в доход областного бюджета в соответствии с пунктом 2 Порядка, указанного в абзаце первом данного пункта.</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20. Субсидия имеет целевое назначение.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Ответственность за недостоверность, несвоевременность составления и представления отчетной документации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Ответственность за нецелевое расходование средств возлагается на муниципальные образования области и соответствующих главных распорядителей средств местных бюджетов.</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В случае нецелевого использования субсидий и (или) нарушения муниципальными образованиями области условий их предоставления и расходования, в том числе необеспечения возврата местными бюджетами сре</w:t>
      </w:r>
      <w:proofErr w:type="gramStart"/>
      <w:r w:rsidRPr="004E5763">
        <w:rPr>
          <w:rFonts w:ascii="Times New Roman" w:eastAsia="Times New Roman" w:hAnsi="Times New Roman" w:cs="Times New Roman"/>
          <w:sz w:val="28"/>
          <w:szCs w:val="28"/>
          <w:lang w:eastAsia="en-US"/>
        </w:rPr>
        <w:t>дств в д</w:t>
      </w:r>
      <w:proofErr w:type="gramEnd"/>
      <w:r w:rsidRPr="004E5763">
        <w:rPr>
          <w:rFonts w:ascii="Times New Roman" w:eastAsia="Times New Roman" w:hAnsi="Times New Roman" w:cs="Times New Roman"/>
          <w:sz w:val="28"/>
          <w:szCs w:val="28"/>
          <w:lang w:eastAsia="en-US"/>
        </w:rPr>
        <w:t>оход областного бюджета, применяются бюджетные меры принуждения, предусмотренные законодательством Российской Федерации.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21. </w:t>
      </w:r>
      <w:proofErr w:type="gramStart"/>
      <w:r w:rsidRPr="004E5763">
        <w:rPr>
          <w:rFonts w:ascii="Times New Roman" w:eastAsia="Times New Roman" w:hAnsi="Times New Roman" w:cs="Times New Roman"/>
          <w:sz w:val="28"/>
          <w:szCs w:val="28"/>
          <w:lang w:eastAsia="en-US"/>
        </w:rPr>
        <w:t>В случае уменьшения потребности в субсидиях по результатам проведенных конкурсов или аукционов, а также в случае прекращения потребности в субсидиях в муниципальных образованиях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 влекущих прекращение потребности в предоставлении субсидии.</w:t>
      </w:r>
      <w:proofErr w:type="gramEnd"/>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22. Оценка результативности и эффективности использования субсидий осуществляется ежегодно ответственным исполнителем задачи на основании: </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копий заключенных муниципальных контрактов на приобретение жилых помещений, в том числе в строящихся домах, путем долевого участия в строительстве или строительства домов – при реализации мероприятий путем приобретения жилых помещений;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отчета об использовании субсидии и </w:t>
      </w:r>
      <w:proofErr w:type="spellStart"/>
      <w:r w:rsidRPr="004E5763">
        <w:rPr>
          <w:rFonts w:ascii="Times New Roman" w:eastAsia="Times New Roman" w:hAnsi="Times New Roman" w:cs="Times New Roman"/>
          <w:sz w:val="28"/>
          <w:szCs w:val="28"/>
          <w:lang w:eastAsia="en-US"/>
        </w:rPr>
        <w:t>софинансировании</w:t>
      </w:r>
      <w:proofErr w:type="spellEnd"/>
      <w:r w:rsidRPr="004E5763">
        <w:rPr>
          <w:rFonts w:ascii="Times New Roman" w:eastAsia="Times New Roman" w:hAnsi="Times New Roman" w:cs="Times New Roman"/>
          <w:sz w:val="28"/>
          <w:szCs w:val="28"/>
          <w:lang w:eastAsia="en-US"/>
        </w:rPr>
        <w:t xml:space="preserve"> расходов местных бюджетов на реализацию задачи по форме 2 и отчета о реализации задачи по форме 3 согласно приложению 7 к Программе.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23. Показатель результативности использования субсидий (R') рассчитывается по формуле: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                      </w:t>
      </w:r>
    </w:p>
    <w:p w:rsidR="0026582A" w:rsidRPr="004E5763" w:rsidRDefault="0026582A" w:rsidP="0026582A">
      <w:pPr>
        <w:widowControl/>
        <w:autoSpaceDE/>
        <w:autoSpaceDN/>
        <w:adjustRightInd/>
        <w:ind w:firstLine="709"/>
        <w:jc w:val="center"/>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 xml:space="preserve">R' = SUM </w:t>
      </w:r>
      <w:proofErr w:type="spellStart"/>
      <w:r w:rsidRPr="004E5763">
        <w:rPr>
          <w:rFonts w:ascii="Times New Roman" w:eastAsia="Times New Roman" w:hAnsi="Times New Roman" w:cs="Times New Roman"/>
          <w:sz w:val="28"/>
          <w:szCs w:val="28"/>
          <w:lang w:eastAsia="en-US"/>
        </w:rPr>
        <w:t>К</w:t>
      </w:r>
      <w:proofErr w:type="gramStart"/>
      <w:r w:rsidRPr="004E5763">
        <w:rPr>
          <w:rFonts w:ascii="Times New Roman" w:eastAsia="Times New Roman" w:hAnsi="Times New Roman" w:cs="Times New Roman"/>
          <w:sz w:val="28"/>
          <w:szCs w:val="28"/>
          <w:lang w:eastAsia="en-US"/>
        </w:rPr>
        <w:t>n</w:t>
      </w:r>
      <w:proofErr w:type="spellEnd"/>
      <w:proofErr w:type="gramEnd"/>
      <w:r w:rsidRPr="004E5763">
        <w:rPr>
          <w:rFonts w:ascii="Times New Roman" w:eastAsia="Times New Roman" w:hAnsi="Times New Roman" w:cs="Times New Roman"/>
          <w:sz w:val="28"/>
          <w:szCs w:val="28"/>
          <w:lang w:eastAsia="en-US"/>
        </w:rPr>
        <w:t>  × (</w:t>
      </w:r>
      <w:proofErr w:type="spellStart"/>
      <w:r w:rsidRPr="004E5763">
        <w:rPr>
          <w:rFonts w:ascii="Times New Roman" w:eastAsia="Times New Roman" w:hAnsi="Times New Roman" w:cs="Times New Roman"/>
          <w:sz w:val="28"/>
          <w:szCs w:val="28"/>
          <w:lang w:eastAsia="en-US"/>
        </w:rPr>
        <w:t>Xn</w:t>
      </w:r>
      <w:proofErr w:type="spellEnd"/>
      <w:r w:rsidRPr="004E5763">
        <w:rPr>
          <w:rFonts w:ascii="Times New Roman" w:eastAsia="Times New Roman" w:hAnsi="Times New Roman" w:cs="Times New Roman"/>
          <w:sz w:val="28"/>
          <w:szCs w:val="28"/>
          <w:lang w:eastAsia="en-US"/>
        </w:rPr>
        <w:t xml:space="preserve"> тек. / </w:t>
      </w:r>
      <w:proofErr w:type="spellStart"/>
      <w:proofErr w:type="gramStart"/>
      <w:r w:rsidRPr="004E5763">
        <w:rPr>
          <w:rFonts w:ascii="Times New Roman" w:eastAsia="Times New Roman" w:hAnsi="Times New Roman" w:cs="Times New Roman"/>
          <w:sz w:val="28"/>
          <w:szCs w:val="28"/>
          <w:lang w:eastAsia="en-US"/>
        </w:rPr>
        <w:t>Xn</w:t>
      </w:r>
      <w:proofErr w:type="spellEnd"/>
      <w:r w:rsidRPr="004E5763">
        <w:rPr>
          <w:rFonts w:ascii="Times New Roman" w:eastAsia="Times New Roman" w:hAnsi="Times New Roman" w:cs="Times New Roman"/>
          <w:sz w:val="28"/>
          <w:szCs w:val="28"/>
          <w:lang w:eastAsia="en-US"/>
        </w:rPr>
        <w:t xml:space="preserve"> план.) × 100 %,</w:t>
      </w:r>
      <w:proofErr w:type="gramEnd"/>
    </w:p>
    <w:p w:rsidR="0026582A" w:rsidRPr="004E5763" w:rsidRDefault="0026582A" w:rsidP="0026582A">
      <w:pPr>
        <w:widowControl/>
        <w:autoSpaceDE/>
        <w:autoSpaceDN/>
        <w:adjustRightInd/>
        <w:ind w:firstLine="709"/>
        <w:jc w:val="both"/>
        <w:rPr>
          <w:rFonts w:ascii="Times New Roman" w:eastAsia="Times New Roman" w:hAnsi="Times New Roman" w:cs="Times New Roman"/>
          <w:szCs w:val="28"/>
          <w:lang w:eastAsia="en-US"/>
        </w:rPr>
      </w:pPr>
    </w:p>
    <w:p w:rsidR="0026582A" w:rsidRPr="004E5763" w:rsidRDefault="0026582A" w:rsidP="0026582A">
      <w:pPr>
        <w:widowControl/>
        <w:autoSpaceDE/>
        <w:autoSpaceDN/>
        <w:adjustRightInd/>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где: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proofErr w:type="spellStart"/>
      <w:r w:rsidRPr="004E5763">
        <w:rPr>
          <w:rFonts w:ascii="Times New Roman" w:eastAsia="Times New Roman" w:hAnsi="Times New Roman" w:cs="Times New Roman"/>
          <w:sz w:val="28"/>
          <w:szCs w:val="28"/>
          <w:lang w:eastAsia="en-US"/>
        </w:rPr>
        <w:t>Xn</w:t>
      </w:r>
      <w:proofErr w:type="spellEnd"/>
      <w:r w:rsidRPr="004E5763">
        <w:rPr>
          <w:rFonts w:ascii="Times New Roman" w:eastAsia="Times New Roman" w:hAnsi="Times New Roman" w:cs="Times New Roman"/>
          <w:sz w:val="28"/>
          <w:szCs w:val="28"/>
          <w:lang w:eastAsia="en-US"/>
        </w:rPr>
        <w:t xml:space="preserve"> тек</w:t>
      </w:r>
      <w:proofErr w:type="gramStart"/>
      <w:r w:rsidRPr="004E5763">
        <w:rPr>
          <w:rFonts w:ascii="Times New Roman" w:eastAsia="Times New Roman" w:hAnsi="Times New Roman" w:cs="Times New Roman"/>
          <w:sz w:val="28"/>
          <w:szCs w:val="28"/>
          <w:lang w:eastAsia="en-US"/>
        </w:rPr>
        <w:t>.</w:t>
      </w:r>
      <w:proofErr w:type="gram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т</w:t>
      </w:r>
      <w:proofErr w:type="gramEnd"/>
      <w:r w:rsidRPr="004E5763">
        <w:rPr>
          <w:rFonts w:ascii="Times New Roman" w:eastAsia="Times New Roman" w:hAnsi="Times New Roman" w:cs="Times New Roman"/>
          <w:sz w:val="28"/>
          <w:szCs w:val="28"/>
          <w:lang w:eastAsia="en-US"/>
        </w:rPr>
        <w:t>екущее значение показателя;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proofErr w:type="spellStart"/>
      <w:r w:rsidRPr="004E5763">
        <w:rPr>
          <w:rFonts w:ascii="Times New Roman" w:eastAsia="Times New Roman" w:hAnsi="Times New Roman" w:cs="Times New Roman"/>
          <w:sz w:val="28"/>
          <w:szCs w:val="28"/>
          <w:lang w:eastAsia="en-US"/>
        </w:rPr>
        <w:t>Xn</w:t>
      </w:r>
      <w:proofErr w:type="spellEnd"/>
      <w:r w:rsidRPr="004E5763">
        <w:rPr>
          <w:rFonts w:ascii="Times New Roman" w:eastAsia="Times New Roman" w:hAnsi="Times New Roman" w:cs="Times New Roman"/>
          <w:sz w:val="28"/>
          <w:szCs w:val="28"/>
          <w:lang w:eastAsia="en-US"/>
        </w:rPr>
        <w:t xml:space="preserve"> план</w:t>
      </w:r>
      <w:proofErr w:type="gramStart"/>
      <w:r w:rsidRPr="004E5763">
        <w:rPr>
          <w:rFonts w:ascii="Times New Roman" w:eastAsia="Times New Roman" w:hAnsi="Times New Roman" w:cs="Times New Roman"/>
          <w:sz w:val="28"/>
          <w:szCs w:val="28"/>
          <w:lang w:eastAsia="en-US"/>
        </w:rPr>
        <w:t>.</w:t>
      </w:r>
      <w:proofErr w:type="gram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п</w:t>
      </w:r>
      <w:proofErr w:type="gramEnd"/>
      <w:r w:rsidRPr="004E5763">
        <w:rPr>
          <w:rFonts w:ascii="Times New Roman" w:eastAsia="Times New Roman" w:hAnsi="Times New Roman" w:cs="Times New Roman"/>
          <w:sz w:val="28"/>
          <w:szCs w:val="28"/>
          <w:lang w:eastAsia="en-US"/>
        </w:rPr>
        <w:t>лановое значение показателя;</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proofErr w:type="spellStart"/>
      <w:r w:rsidRPr="004E5763">
        <w:rPr>
          <w:rFonts w:ascii="Times New Roman" w:eastAsia="Times New Roman" w:hAnsi="Times New Roman" w:cs="Times New Roman"/>
          <w:sz w:val="28"/>
          <w:szCs w:val="28"/>
          <w:lang w:eastAsia="en-US"/>
        </w:rPr>
        <w:t>К</w:t>
      </w:r>
      <w:proofErr w:type="gramStart"/>
      <w:r w:rsidRPr="004E5763">
        <w:rPr>
          <w:rFonts w:ascii="Times New Roman" w:eastAsia="Times New Roman" w:hAnsi="Times New Roman" w:cs="Times New Roman"/>
          <w:sz w:val="28"/>
          <w:szCs w:val="28"/>
          <w:lang w:eastAsia="en-US"/>
        </w:rPr>
        <w:t>n</w:t>
      </w:r>
      <w:proofErr w:type="spellEnd"/>
      <w:proofErr w:type="gramEnd"/>
      <w:r w:rsidRPr="004E5763">
        <w:rPr>
          <w:rFonts w:ascii="Times New Roman" w:eastAsia="Times New Roman" w:hAnsi="Times New Roman" w:cs="Times New Roman"/>
          <w:sz w:val="28"/>
          <w:szCs w:val="28"/>
          <w:lang w:eastAsia="en-US"/>
        </w:rPr>
        <w:t xml:space="preserve"> – весовой коэффициент.</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90 до 95 процентов – средней, при значении менее 90 процентов – низкой.</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Показатель эффективности реализации субсидий (R) рассчитывается по формуле:</w:t>
      </w:r>
    </w:p>
    <w:p w:rsidR="0026582A" w:rsidRPr="004E5763" w:rsidRDefault="0026582A" w:rsidP="0026582A">
      <w:pPr>
        <w:widowControl/>
        <w:autoSpaceDE/>
        <w:autoSpaceDN/>
        <w:adjustRightInd/>
        <w:jc w:val="center"/>
        <w:rPr>
          <w:rFonts w:ascii="Times New Roman" w:eastAsia="Times New Roman" w:hAnsi="Times New Roman" w:cs="Times New Roman"/>
          <w:sz w:val="28"/>
          <w:szCs w:val="28"/>
          <w:lang w:eastAsia="en-US"/>
        </w:rPr>
      </w:pPr>
      <w:proofErr w:type="gramStart"/>
      <w:r w:rsidRPr="004E5763">
        <w:rPr>
          <w:rFonts w:ascii="Times New Roman" w:eastAsia="Times New Roman" w:hAnsi="Times New Roman" w:cs="Times New Roman"/>
          <w:sz w:val="28"/>
          <w:szCs w:val="28"/>
          <w:lang w:eastAsia="en-US"/>
        </w:rPr>
        <w:t>R = R' / (F тек.</w:t>
      </w:r>
      <w:proofErr w:type="gram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F план.) × 100 %,</w:t>
      </w:r>
      <w:proofErr w:type="gramEnd"/>
    </w:p>
    <w:p w:rsidR="0026582A" w:rsidRPr="004E5763" w:rsidRDefault="0026582A" w:rsidP="0026582A">
      <w:pPr>
        <w:widowControl/>
        <w:autoSpaceDE/>
        <w:autoSpaceDN/>
        <w:adjustRightInd/>
        <w:ind w:firstLine="709"/>
        <w:jc w:val="both"/>
        <w:rPr>
          <w:rFonts w:ascii="Times New Roman" w:eastAsia="Times New Roman" w:hAnsi="Times New Roman" w:cs="Times New Roman"/>
          <w:sz w:val="20"/>
          <w:szCs w:val="28"/>
          <w:lang w:eastAsia="en-US"/>
        </w:rPr>
      </w:pPr>
    </w:p>
    <w:p w:rsidR="0026582A" w:rsidRPr="004E5763" w:rsidRDefault="0026582A" w:rsidP="0026582A">
      <w:pPr>
        <w:widowControl/>
        <w:autoSpaceDE/>
        <w:autoSpaceDN/>
        <w:adjustRightInd/>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где: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R' – показатель результативности;</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F план</w:t>
      </w:r>
      <w:proofErr w:type="gramStart"/>
      <w:r w:rsidRPr="004E5763">
        <w:rPr>
          <w:rFonts w:ascii="Times New Roman" w:eastAsia="Times New Roman" w:hAnsi="Times New Roman" w:cs="Times New Roman"/>
          <w:sz w:val="28"/>
          <w:szCs w:val="28"/>
          <w:lang w:eastAsia="en-US"/>
        </w:rPr>
        <w:t>.</w:t>
      </w:r>
      <w:proofErr w:type="gram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п</w:t>
      </w:r>
      <w:proofErr w:type="gramEnd"/>
      <w:r w:rsidRPr="004E5763">
        <w:rPr>
          <w:rFonts w:ascii="Times New Roman" w:eastAsia="Times New Roman" w:hAnsi="Times New Roman" w:cs="Times New Roman"/>
          <w:sz w:val="28"/>
          <w:szCs w:val="28"/>
          <w:lang w:eastAsia="en-US"/>
        </w:rPr>
        <w:t>лановая сумма финансирования по задаче;</w:t>
      </w:r>
    </w:p>
    <w:p w:rsidR="0026582A" w:rsidRPr="004E5763" w:rsidRDefault="0026582A" w:rsidP="0026582A">
      <w:pPr>
        <w:widowControl/>
        <w:autoSpaceDE/>
        <w:autoSpaceDN/>
        <w:adjustRightInd/>
        <w:ind w:firstLine="709"/>
        <w:jc w:val="both"/>
        <w:rPr>
          <w:rFonts w:ascii="Times New Roman" w:eastAsia="Times New Roman" w:hAnsi="Times New Roman" w:cs="Times New Roman"/>
          <w:sz w:val="28"/>
          <w:szCs w:val="28"/>
          <w:lang w:eastAsia="en-US"/>
        </w:rPr>
      </w:pPr>
      <w:r w:rsidRPr="004E5763">
        <w:rPr>
          <w:rFonts w:ascii="Times New Roman" w:eastAsia="Times New Roman" w:hAnsi="Times New Roman" w:cs="Times New Roman"/>
          <w:sz w:val="28"/>
          <w:szCs w:val="28"/>
          <w:lang w:eastAsia="en-US"/>
        </w:rPr>
        <w:t>F тек</w:t>
      </w:r>
      <w:proofErr w:type="gramStart"/>
      <w:r w:rsidRPr="004E5763">
        <w:rPr>
          <w:rFonts w:ascii="Times New Roman" w:eastAsia="Times New Roman" w:hAnsi="Times New Roman" w:cs="Times New Roman"/>
          <w:sz w:val="28"/>
          <w:szCs w:val="28"/>
          <w:lang w:eastAsia="en-US"/>
        </w:rPr>
        <w:t>.</w:t>
      </w:r>
      <w:proofErr w:type="gramEnd"/>
      <w:r w:rsidRPr="004E5763">
        <w:rPr>
          <w:rFonts w:ascii="Times New Roman" w:eastAsia="Times New Roman" w:hAnsi="Times New Roman" w:cs="Times New Roman"/>
          <w:sz w:val="28"/>
          <w:szCs w:val="28"/>
          <w:lang w:eastAsia="en-US"/>
        </w:rPr>
        <w:t xml:space="preserve"> – </w:t>
      </w:r>
      <w:proofErr w:type="gramStart"/>
      <w:r w:rsidRPr="004E5763">
        <w:rPr>
          <w:rFonts w:ascii="Times New Roman" w:eastAsia="Times New Roman" w:hAnsi="Times New Roman" w:cs="Times New Roman"/>
          <w:sz w:val="28"/>
          <w:szCs w:val="28"/>
          <w:lang w:eastAsia="en-US"/>
        </w:rPr>
        <w:t>с</w:t>
      </w:r>
      <w:proofErr w:type="gramEnd"/>
      <w:r w:rsidRPr="004E5763">
        <w:rPr>
          <w:rFonts w:ascii="Times New Roman" w:eastAsia="Times New Roman" w:hAnsi="Times New Roman" w:cs="Times New Roman"/>
          <w:sz w:val="28"/>
          <w:szCs w:val="28"/>
          <w:lang w:eastAsia="en-US"/>
        </w:rPr>
        <w:t>умма финансирования на текущую дату.</w:t>
      </w:r>
    </w:p>
    <w:p w:rsidR="0026582A" w:rsidRPr="00722E61" w:rsidRDefault="0026582A" w:rsidP="0026582A">
      <w:pPr>
        <w:widowControl/>
        <w:tabs>
          <w:tab w:val="left" w:pos="993"/>
        </w:tabs>
        <w:ind w:firstLine="709"/>
        <w:jc w:val="both"/>
        <w:rPr>
          <w:rFonts w:ascii="Times New Roman" w:eastAsia="Times New Roman" w:hAnsi="Times New Roman" w:cs="Times New Roman"/>
          <w:sz w:val="28"/>
          <w:szCs w:val="28"/>
        </w:rPr>
      </w:pPr>
      <w:r w:rsidRPr="004E5763">
        <w:rPr>
          <w:rFonts w:ascii="Times New Roman" w:eastAsia="Times New Roman" w:hAnsi="Times New Roman" w:cs="Times New Roman"/>
          <w:sz w:val="28"/>
          <w:szCs w:val="28"/>
          <w:lang w:eastAsia="en-US"/>
        </w:rPr>
        <w:t xml:space="preserve">При значении показателя эффективности использования субсидии </w:t>
      </w:r>
      <w:r w:rsidRPr="004E5763">
        <w:rPr>
          <w:rFonts w:ascii="Times New Roman" w:eastAsia="Times New Roman" w:hAnsi="Times New Roman" w:cs="Times New Roman"/>
          <w:sz w:val="28"/>
          <w:szCs w:val="28"/>
          <w:lang w:eastAsia="en-US"/>
        </w:rPr>
        <w:br/>
        <w:t xml:space="preserve">95 процентов и более результативность использования субсидии признаётся высокой, при значении от 90 до 95 процентов – средней, при значении </w:t>
      </w:r>
      <w:r w:rsidRPr="004E5763">
        <w:rPr>
          <w:rFonts w:ascii="Times New Roman" w:eastAsia="Times New Roman" w:hAnsi="Times New Roman" w:cs="Times New Roman"/>
          <w:sz w:val="28"/>
          <w:szCs w:val="28"/>
          <w:lang w:eastAsia="en-US"/>
        </w:rPr>
        <w:br/>
        <w:t>менее 90 процентов – низкой.</w:t>
      </w:r>
    </w:p>
    <w:p w:rsidR="009505B8" w:rsidRDefault="009505B8"/>
    <w:sectPr w:rsidR="009505B8" w:rsidSect="002674F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4F5" w:rsidRDefault="002674F5" w:rsidP="002674F5">
      <w:r>
        <w:separator/>
      </w:r>
    </w:p>
  </w:endnote>
  <w:endnote w:type="continuationSeparator" w:id="0">
    <w:p w:rsidR="002674F5" w:rsidRDefault="002674F5" w:rsidP="0026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4F5" w:rsidRDefault="002674F5" w:rsidP="002674F5">
      <w:r>
        <w:separator/>
      </w:r>
    </w:p>
  </w:footnote>
  <w:footnote w:type="continuationSeparator" w:id="0">
    <w:p w:rsidR="002674F5" w:rsidRDefault="002674F5" w:rsidP="00267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825244"/>
      <w:docPartObj>
        <w:docPartGallery w:val="Page Numbers (Top of Page)"/>
        <w:docPartUnique/>
      </w:docPartObj>
    </w:sdtPr>
    <w:sdtEndPr>
      <w:rPr>
        <w:rFonts w:ascii="Times New Roman" w:hAnsi="Times New Roman" w:cs="Times New Roman"/>
        <w:sz w:val="28"/>
        <w:szCs w:val="28"/>
      </w:rPr>
    </w:sdtEndPr>
    <w:sdtContent>
      <w:p w:rsidR="002674F5" w:rsidRPr="002674F5" w:rsidRDefault="002674F5">
        <w:pPr>
          <w:pStyle w:val="a3"/>
          <w:jc w:val="center"/>
          <w:rPr>
            <w:rFonts w:ascii="Times New Roman" w:hAnsi="Times New Roman" w:cs="Times New Roman"/>
            <w:sz w:val="28"/>
            <w:szCs w:val="28"/>
          </w:rPr>
        </w:pPr>
        <w:r w:rsidRPr="002674F5">
          <w:rPr>
            <w:rFonts w:ascii="Times New Roman" w:hAnsi="Times New Roman" w:cs="Times New Roman"/>
            <w:sz w:val="28"/>
            <w:szCs w:val="28"/>
          </w:rPr>
          <w:fldChar w:fldCharType="begin"/>
        </w:r>
        <w:r w:rsidRPr="002674F5">
          <w:rPr>
            <w:rFonts w:ascii="Times New Roman" w:hAnsi="Times New Roman" w:cs="Times New Roman"/>
            <w:sz w:val="28"/>
            <w:szCs w:val="28"/>
          </w:rPr>
          <w:instrText>PAGE   \* MERGEFORMAT</w:instrText>
        </w:r>
        <w:r w:rsidRPr="002674F5">
          <w:rPr>
            <w:rFonts w:ascii="Times New Roman" w:hAnsi="Times New Roman" w:cs="Times New Roman"/>
            <w:sz w:val="28"/>
            <w:szCs w:val="28"/>
          </w:rPr>
          <w:fldChar w:fldCharType="separate"/>
        </w:r>
        <w:r>
          <w:rPr>
            <w:rFonts w:ascii="Times New Roman" w:hAnsi="Times New Roman" w:cs="Times New Roman"/>
            <w:noProof/>
            <w:sz w:val="28"/>
            <w:szCs w:val="28"/>
          </w:rPr>
          <w:t>8</w:t>
        </w:r>
        <w:r w:rsidRPr="002674F5">
          <w:rPr>
            <w:rFonts w:ascii="Times New Roman" w:hAnsi="Times New Roman" w:cs="Times New Roman"/>
            <w:sz w:val="28"/>
            <w:szCs w:val="28"/>
          </w:rPr>
          <w:fldChar w:fldCharType="end"/>
        </w:r>
      </w:p>
    </w:sdtContent>
  </w:sdt>
  <w:p w:rsidR="002674F5" w:rsidRDefault="002674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2A"/>
    <w:rsid w:val="0026582A"/>
    <w:rsid w:val="002674F5"/>
    <w:rsid w:val="00351475"/>
    <w:rsid w:val="006B388C"/>
    <w:rsid w:val="007C3767"/>
    <w:rsid w:val="00950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26582A"/>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74F5"/>
    <w:pPr>
      <w:tabs>
        <w:tab w:val="center" w:pos="4677"/>
        <w:tab w:val="right" w:pos="9355"/>
      </w:tabs>
    </w:pPr>
  </w:style>
  <w:style w:type="character" w:customStyle="1" w:styleId="a4">
    <w:name w:val="Верхний колонтитул Знак"/>
    <w:basedOn w:val="a0"/>
    <w:link w:val="a3"/>
    <w:uiPriority w:val="99"/>
    <w:rsid w:val="002674F5"/>
    <w:rPr>
      <w:rFonts w:ascii="Arial" w:eastAsiaTheme="minorEastAsia" w:hAnsi="Arial" w:cs="Arial"/>
      <w:sz w:val="18"/>
      <w:szCs w:val="18"/>
      <w:lang w:eastAsia="ru-RU"/>
    </w:rPr>
  </w:style>
  <w:style w:type="paragraph" w:styleId="a5">
    <w:name w:val="footer"/>
    <w:basedOn w:val="a"/>
    <w:link w:val="a6"/>
    <w:uiPriority w:val="99"/>
    <w:unhideWhenUsed/>
    <w:rsid w:val="002674F5"/>
    <w:pPr>
      <w:tabs>
        <w:tab w:val="center" w:pos="4677"/>
        <w:tab w:val="right" w:pos="9355"/>
      </w:tabs>
    </w:pPr>
  </w:style>
  <w:style w:type="character" w:customStyle="1" w:styleId="a6">
    <w:name w:val="Нижний колонтитул Знак"/>
    <w:basedOn w:val="a0"/>
    <w:link w:val="a5"/>
    <w:uiPriority w:val="99"/>
    <w:rsid w:val="002674F5"/>
    <w:rPr>
      <w:rFonts w:ascii="Arial" w:eastAsiaTheme="minorEastAsia"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26582A"/>
    <w:pPr>
      <w:widowControl w:val="0"/>
      <w:autoSpaceDE w:val="0"/>
      <w:autoSpaceDN w:val="0"/>
      <w:adjustRightInd w:val="0"/>
      <w:spacing w:after="0" w:line="240" w:lineRule="auto"/>
    </w:pPr>
    <w:rPr>
      <w:rFonts w:ascii="Arial" w:eastAsiaTheme="minorEastAsia"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74F5"/>
    <w:pPr>
      <w:tabs>
        <w:tab w:val="center" w:pos="4677"/>
        <w:tab w:val="right" w:pos="9355"/>
      </w:tabs>
    </w:pPr>
  </w:style>
  <w:style w:type="character" w:customStyle="1" w:styleId="a4">
    <w:name w:val="Верхний колонтитул Знак"/>
    <w:basedOn w:val="a0"/>
    <w:link w:val="a3"/>
    <w:uiPriority w:val="99"/>
    <w:rsid w:val="002674F5"/>
    <w:rPr>
      <w:rFonts w:ascii="Arial" w:eastAsiaTheme="minorEastAsia" w:hAnsi="Arial" w:cs="Arial"/>
      <w:sz w:val="18"/>
      <w:szCs w:val="18"/>
      <w:lang w:eastAsia="ru-RU"/>
    </w:rPr>
  </w:style>
  <w:style w:type="paragraph" w:styleId="a5">
    <w:name w:val="footer"/>
    <w:basedOn w:val="a"/>
    <w:link w:val="a6"/>
    <w:uiPriority w:val="99"/>
    <w:unhideWhenUsed/>
    <w:rsid w:val="002674F5"/>
    <w:pPr>
      <w:tabs>
        <w:tab w:val="center" w:pos="4677"/>
        <w:tab w:val="right" w:pos="9355"/>
      </w:tabs>
    </w:pPr>
  </w:style>
  <w:style w:type="character" w:customStyle="1" w:styleId="a6">
    <w:name w:val="Нижний колонтитул Знак"/>
    <w:basedOn w:val="a0"/>
    <w:link w:val="a5"/>
    <w:uiPriority w:val="99"/>
    <w:rsid w:val="002674F5"/>
    <w:rPr>
      <w:rFonts w:ascii="Arial" w:eastAsiaTheme="minorEastAsia"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2714</Words>
  <Characters>15473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Ксения Викторовна</dc:creator>
  <cp:lastModifiedBy>Колточенко Татьяна Владимировна</cp:lastModifiedBy>
  <cp:revision>5</cp:revision>
  <dcterms:created xsi:type="dcterms:W3CDTF">2018-10-18T07:59:00Z</dcterms:created>
  <dcterms:modified xsi:type="dcterms:W3CDTF">2018-10-19T12:24:00Z</dcterms:modified>
</cp:coreProperties>
</file>