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0B" w:rsidRDefault="00C07F0B" w:rsidP="00C07F0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07F0B" w:rsidRDefault="00C07F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386E" w:rsidRPr="00C07F0B" w:rsidRDefault="00CF51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F0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B386E" w:rsidRPr="00C07F0B" w:rsidRDefault="00CF51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F0B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НА ФИНАНСОВОЕ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F0B">
        <w:rPr>
          <w:rFonts w:ascii="Times New Roman" w:hAnsi="Times New Roman" w:cs="Times New Roman"/>
          <w:b/>
          <w:sz w:val="28"/>
          <w:szCs w:val="28"/>
        </w:rPr>
        <w:t>ОБЕСПЕЧЕНИЕ МЕРОПРИЯТИЙ ПО СТРОИТЕЛЬСТВУ И РЕКОНСТРУКЦИИ</w:t>
      </w:r>
      <w:bookmarkStart w:id="0" w:name="_GoBack"/>
      <w:bookmarkEnd w:id="0"/>
    </w:p>
    <w:p w:rsidR="005B386E" w:rsidRPr="00C07F0B" w:rsidRDefault="00CF51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F0B">
        <w:rPr>
          <w:rFonts w:ascii="Times New Roman" w:hAnsi="Times New Roman" w:cs="Times New Roman"/>
          <w:b/>
          <w:sz w:val="28"/>
          <w:szCs w:val="28"/>
        </w:rPr>
        <w:t>ОБЪЕКТОВ СПОРТА МУНИЦИПАЛЬНОЙ СОБСТВЕННОСТИ</w:t>
      </w:r>
    </w:p>
    <w:p w:rsidR="005B386E" w:rsidRPr="00C07F0B" w:rsidRDefault="005B38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386E" w:rsidRPr="00C07F0B" w:rsidRDefault="005B38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субсидии на финансовое обеспечение мероприятий по строительству и реконструкции объектов спорта муниципальной собственности (далее - Порядок) разработан в соответствии с </w:t>
      </w:r>
      <w:hyperlink r:id="rId7" w:history="1">
        <w:r w:rsidRPr="00C07F0B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C07F0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Федерации", </w:t>
      </w:r>
      <w:hyperlink r:id="rId9" w:history="1">
        <w:r w:rsidRPr="00C07F0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>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 и устанавливает порядок формирования, предоставления и расходования субсидии на финансовое обеспечение мероприятий по строительству и реконструкции объектов спорта муниципальной собственности (далее - субсидия), принципы ее распределения между органами местного самоуправления муниципальных районов (городских округов) области (далее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>ОМСУ).</w:t>
      </w:r>
      <w:proofErr w:type="gramEnd"/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2. Субсидия предоставляется в целях развития инфраструктуры массового спорта на территории муниципальных образований Ярославской области и материально-технической базы спорта высших достижений области, приведения материально-технической базы спортивной инфраструктуры в соответствие с требуемыми нормативами обеспеченности населения спортивными объектами, создания условий, необходимых для занятий физической культурой и спортом в муниципальных образованиях Ярославской области.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Субсидия предусмотрена на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области, возникающих при выполнении ОМСУ полномочий по вопросам обеспечения условий для развития на территории муниципального образования области физической культуры и массового спорта, в части осуществления строительства и реконструкции объектов спорта, включенных в адресную инвестиционную программу Ярославской области на соответствующий год и включенных на соответствующий год в мероприятия областной целевой программы "Развитие материально-технической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базы физической культуры и спорта Ярославской области" на 2017 - 2019 годы, утверждаемой постановлением Правительства области "Об областной целевой программе "Развитие </w:t>
      </w:r>
      <w:r w:rsidRPr="00C07F0B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материально-технической базы физической культуры и спорта Ярославской области" на 2017 - 2019 годы" (далее - ОЦП).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Отбор строек и объектов осуществляется в соответствии с </w:t>
      </w:r>
      <w:hyperlink r:id="rId10" w:history="1">
        <w:r w:rsidRPr="00C07F0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формирования и реализации адресной инвестиционной программы Ярославской области, утвержденным постановлением Правительства области от 15.06.2010 N 416-п "О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N 171".</w:t>
      </w:r>
      <w:proofErr w:type="gramEnd"/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Критерий отбора муниципальных образований области для предоставления субсидии - недостаточный уровень обеспеченности населения муниципального образования области объектами спорта по отношению к нормативу обеспеченности, рассчитанному в соответствии с </w:t>
      </w:r>
      <w:hyperlink r:id="rId11" w:history="1">
        <w:r w:rsidRPr="00C07F0B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25.05.2016 N 586 "Об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организаций".</w:t>
      </w:r>
      <w:proofErr w:type="gramEnd"/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 в рамках ОЦП: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- наличие в муниципальном образовании области соответствующей утвержденной муниципальной программы, а также соответствие мероприятий муниципальной программы требованиям государственной </w:t>
      </w:r>
      <w:hyperlink r:id="rId12" w:history="1">
        <w:r w:rsidRPr="00C07F0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Ярославской области "Развитие физической культуры и спорта в Ярославской области" на 2014 - 2020 годы, утвержденной постановлением Правительства области от 30.05.2014 N 530-п "О государственной программе Ярославской области "Развитие физической культуры и спорта в Ярославской области" на 2014 - 2020 годы", ОЦП;</w:t>
      </w:r>
      <w:proofErr w:type="gramEnd"/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Уровень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за счет средств местных бюджетов устанавливается в размере, определенном </w:t>
      </w:r>
      <w:hyperlink w:anchor="P19" w:history="1">
        <w:r w:rsidRPr="00C07F0B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наличие соглашения, заключаемого между главным распорядителем средств областного бюджета и ОМСУ (далее - соглашение);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соблюдение целевого направления расходования субсидии;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результативности использования субсидии, установленных </w:t>
      </w:r>
      <w:hyperlink w:anchor="P44" w:history="1">
        <w:r w:rsidRPr="00C07F0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Порядка, и требований соблюдения графика выполнения работ;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</w:t>
      </w:r>
      <w:r w:rsidRPr="00C07F0B">
        <w:rPr>
          <w:rFonts w:ascii="Times New Roman" w:hAnsi="Times New Roman" w:cs="Times New Roman"/>
          <w:sz w:val="28"/>
          <w:szCs w:val="28"/>
        </w:rPr>
        <w:lastRenderedPageBreak/>
        <w:t xml:space="preserve">отчетности об использовании субсидии, установленных </w:t>
      </w:r>
      <w:hyperlink w:anchor="P50" w:history="1">
        <w:r w:rsidRPr="00C07F0B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13" w:history="1">
        <w:r w:rsidRPr="00C07F0B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"Об особенностях осуществления закупок, финансируемых за счет бюджета Ярославской области";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возврат муниципальным образованием в доход областного бюджета средств, источником финансового обеспечения которых являются субсидии из федерального бюджета, при невыполнении обязательств по достижению значений показателей результативности использования субсидии, по соблюдению графика выполнения работ.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9"/>
      <w:bookmarkEnd w:id="1"/>
      <w:r w:rsidRPr="00C07F0B">
        <w:rPr>
          <w:rFonts w:ascii="Times New Roman" w:hAnsi="Times New Roman" w:cs="Times New Roman"/>
          <w:sz w:val="28"/>
          <w:szCs w:val="28"/>
        </w:rPr>
        <w:t>6. Размер субсидии бюджету муниципального образования области (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S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5B386E" w:rsidRPr="00C07F0B" w:rsidRDefault="005B3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386E" w:rsidRPr="00C07F0B" w:rsidRDefault="00CF5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89.25pt;height:22.5pt" coordsize="" o:spt="100" adj="0,,0" path="" filled="f" stroked="f">
            <v:stroke joinstyle="miter"/>
            <v:imagedata r:id="rId14" o:title="base_23638_102299_32770"/>
            <v:formulas/>
            <v:path o:connecttype="segments"/>
          </v:shape>
        </w:pict>
      </w:r>
    </w:p>
    <w:p w:rsidR="005B386E" w:rsidRPr="00C07F0B" w:rsidRDefault="005B3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386E" w:rsidRPr="00C07F0B" w:rsidRDefault="005B386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где: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S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(реконструкции) объекта (остаток сметной стоимости n-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объекта), на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K - коэффициент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бюджета по мероприятиям ОЦП устанавливается дифференцированно с учетом доли зависимости муниципальных образований области от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местных бюджетов: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не более 90 процентов - для муниципальных образований области, в которых доля дотаций и (или) налоговых доходов в течение двух из трех последних отчетных финансовых лет превышала 50 процентов собственных доходов местного бюджета;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не более 80 процентов - для муниципальных образований области, в которых доля дотаций и (или) налоговых доходов в течение двух из трех последних отчетных финансовых лет не превышала 50 процентов собственных доходов местного бюджета.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Принадлежность муниципальных образований области к указанным группам устанавливается в соответствии с информацией о распределении муниципальных образований области в зависимости от доли дотаций из </w:t>
      </w:r>
      <w:r w:rsidRPr="00C07F0B">
        <w:rPr>
          <w:rFonts w:ascii="Times New Roman" w:hAnsi="Times New Roman" w:cs="Times New Roman"/>
          <w:sz w:val="28"/>
          <w:szCs w:val="28"/>
        </w:rPr>
        <w:lastRenderedPageBreak/>
        <w:t xml:space="preserve">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 за последние три отчетных года в соответствии со </w:t>
      </w:r>
      <w:hyperlink r:id="rId15" w:history="1">
        <w:r w:rsidRPr="00C07F0B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размещаемой на странице департамента финансов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Ярославской области (далее - департамент финансов) на портале органов государственной власти Ярославской области в информационно-телекоммуникационной сети "Интернет".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В случае привлечения средств федерального бюджета на строительство (реконструкцию) объектов спорта размер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за счет всех источников (федерального, областного, местного бюджетов) устанавливается в соответствии с соглашением о предоставлении средств из федерального бюджета бюджетам субъектов Российской Федерации, заключаемым между Министерством спорта Российской Федерации и Правительством области.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7. Субсидия предоставляется на основании соглашения.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Соглашение должно содержать положения, предусмотренные </w:t>
      </w:r>
      <w:hyperlink r:id="rId16" w:history="1">
        <w:r w:rsidRPr="00C07F0B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местным бюджетам Ярославской области, утвержденными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области", а также сведения об объемах и сроках финансирования.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В соглашении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</w:t>
      </w:r>
      <w:proofErr w:type="gramEnd"/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Форма соглашения утверждается приказом департамента строительства Ярославской области (далее - департамент строительства).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8. Для заключения соглашения ОМСУ представляют в департамент строительства следующие документы: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выписка из решения о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ОМСУ, включающая расшифровку по перечню строек и объектов, включенных в адресную инвестиционную программу Ярославской области;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заверенная копия разрешения на строительство;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- заверенные копии положительного заключения государственной экспертизы проектной документации и положительного заключения о достоверности сметной стоимости объекта капитального строительства в случаях, предусмотренных </w:t>
      </w:r>
      <w:hyperlink r:id="rId17" w:history="1">
        <w:r w:rsidRPr="00C07F0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2009 г. N 427 "О порядке проведения проверки достоверности определения сметной стоимости объектов капитального строительства, строительство которых финансируется с привлечением средств федерального бюджета";</w:t>
      </w:r>
      <w:proofErr w:type="gramEnd"/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- заверенная копия положительного заключения государственной экологической экспертизы проектной документации в случаях, предусмотренных </w:t>
      </w:r>
      <w:hyperlink r:id="rId18" w:history="1">
        <w:r w:rsidRPr="00C07F0B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заверенные копии муниципальных контрактов (договоров) с исполнителями работ на весь период строительства (реконструкции), приобретения оборудования, иных договоров, неразрывно связанных с объектом, включающих график исполнения работ (оказания услуг);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документации, и результатов инженерных изысканий с разбивкой по годам реализации данного проекта.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В случае отсутствия на 01 октября текущего финансового года заключенного соглашения с ОМСУ бюджетные ассигнования областного бюджета на предоставление субсидии данному муниципальному образованию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субсидии, муниципальному образованию области в рамках заключенного соглашения субсидия (частично или в полном объеме) за счет средств областного бюджета не перечислена, при этом документы, в том числе подтверждающие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объем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субсидии подлежит предоставлению в рамках лимитов бюджетных обязательств текущего финансового года при включении данного мероприятия в ОЦП.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При заключении соглашения в текущем году на указанные цели повторного представления документов, подтверждающих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не требуется. Сумма средств, направляемая на погашение кредиторской задолженности, отражается в соглашении отдельной строкой без указания показателей результативности использования субсидии.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"/>
      <w:bookmarkEnd w:id="2"/>
      <w:r w:rsidRPr="00C07F0B">
        <w:rPr>
          <w:rFonts w:ascii="Times New Roman" w:hAnsi="Times New Roman" w:cs="Times New Roman"/>
          <w:sz w:val="28"/>
          <w:szCs w:val="28"/>
        </w:rPr>
        <w:t xml:space="preserve">10. Показатель результативности использования субсидии и его целевое значение соответствуют результатам реализации мероприятий, указанных в </w:t>
      </w:r>
      <w:hyperlink r:id="rId19" w:history="1">
        <w:r w:rsidRPr="00C07F0B">
          <w:rPr>
            <w:rFonts w:ascii="Times New Roman" w:hAnsi="Times New Roman" w:cs="Times New Roman"/>
            <w:sz w:val="28"/>
            <w:szCs w:val="28"/>
          </w:rPr>
          <w:t>пункте 2 раздела V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ОЦП.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11. Распределение субсидии между бюджетами муниципальных районов (городских округов) области утверждается законом Ярославской области об областном бюджете на очередной финансовый год и на плановый период.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12. Предоставление субсидии осуществляется в следующем порядке: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12.1. ОМСУ ежеквартально, до 15 числа месяца, предшествующего очередному кварталу, представляют главному распорядителю средств заявку в кассовый план исполнения областного бюджета.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12.2. 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12.3.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"/>
      <w:bookmarkEnd w:id="3"/>
      <w:r w:rsidRPr="00C07F0B">
        <w:rPr>
          <w:rFonts w:ascii="Times New Roman" w:hAnsi="Times New Roman" w:cs="Times New Roman"/>
          <w:sz w:val="28"/>
          <w:szCs w:val="28"/>
        </w:rPr>
        <w:t>13. ОМСУ представляют в департамент строительства ежемесячно, в срок до 05 числа месяца, следующего за отчетным периодом (отчет за декабрь - до 12 числа месяца, следующего за отчетным периодом):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отчет об использовании и освоении субсидии, в том числе предусматривающий показатели результативности и эффективности использования субсидии, по форме, установленной приказом департамента строительства;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акты о приемке выполненных работ и справки о стоимости выполненных работ и затрат (</w:t>
      </w:r>
      <w:hyperlink r:id="rId20" w:history="1">
        <w:r w:rsidRPr="00C07F0B">
          <w:rPr>
            <w:rFonts w:ascii="Times New Roman" w:hAnsi="Times New Roman" w:cs="Times New Roman"/>
            <w:sz w:val="28"/>
            <w:szCs w:val="28"/>
          </w:rPr>
          <w:t>формы КС-2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C07F0B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C07F0B">
        <w:rPr>
          <w:rFonts w:ascii="Times New Roman" w:hAnsi="Times New Roman" w:cs="Times New Roman"/>
          <w:sz w:val="28"/>
          <w:szCs w:val="28"/>
        </w:rPr>
        <w:t>, утвержденные Федеральной службой государственной статистики);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иные отчеты, перечень, формы и периодичность представления которых устанавливаются приказом департамента строительства;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- отчеты об использовании федеральных средств по объектам, включенным в федеральные целевые программы, по формам, предусмотренным соглашением о предоставлении средств из федерального бюджета бюджетам субъектов Российской Федерации, заключаемым между Министерством спорта Российской Федерации и Правительством области.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>В случае уменьшения сумм предоставляемых муниципальным образованиям субсидий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15. Департамент финансов по предложениям департамента строительства принимает решение о приостановлении финансирования субсидии в случае непредставления в срок отчетности, установленной </w:t>
      </w:r>
      <w:hyperlink w:anchor="P50" w:history="1">
        <w:r w:rsidRPr="00C07F0B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Отмена приостановления предоставления субсидии осуществляется департаментом финансов при получении от департамента строительства информации о представлении отчетов.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16. Оценка результативности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5B386E" w:rsidRPr="00C07F0B" w:rsidRDefault="005B3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386E" w:rsidRPr="00C07F0B" w:rsidRDefault="005B38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>,</w:t>
      </w:r>
    </w:p>
    <w:p w:rsidR="005B386E" w:rsidRPr="00C07F0B" w:rsidRDefault="005B3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386E" w:rsidRPr="00C07F0B" w:rsidRDefault="005B386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где: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показателя результативности;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показателя результативности.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более 0,9 результативность использования субсидии признается высокой, при значении показателя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от 0,8 до 0,9 включительно - средней, при значении показателя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менее 0,8 - низкой.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S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5B386E" w:rsidRPr="00C07F0B" w:rsidRDefault="005B38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386E" w:rsidRPr="00C07F0B" w:rsidRDefault="005B386E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07F0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07F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07F0B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proofErr w:type="gramStart"/>
      <w:r w:rsidRPr="00C07F0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07F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07F0B">
        <w:rPr>
          <w:rFonts w:ascii="Times New Roman" w:hAnsi="Times New Roman" w:cs="Times New Roman"/>
          <w:sz w:val="28"/>
          <w:szCs w:val="28"/>
          <w:lang w:val="en-US"/>
        </w:rPr>
        <w:t xml:space="preserve"> x P</w:t>
      </w:r>
      <w:r w:rsidRPr="00C07F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07F0B">
        <w:rPr>
          <w:rFonts w:ascii="Times New Roman" w:hAnsi="Times New Roman" w:cs="Times New Roman"/>
          <w:sz w:val="28"/>
          <w:szCs w:val="28"/>
          <w:lang w:val="en-US"/>
        </w:rPr>
        <w:t xml:space="preserve"> / F</w:t>
      </w:r>
      <w:r w:rsidRPr="00C07F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07F0B">
        <w:rPr>
          <w:rFonts w:ascii="Times New Roman" w:hAnsi="Times New Roman" w:cs="Times New Roman"/>
          <w:sz w:val="28"/>
          <w:szCs w:val="28"/>
          <w:lang w:val="en-US"/>
        </w:rPr>
        <w:t>) x 100%,</w:t>
      </w:r>
    </w:p>
    <w:p w:rsidR="005B386E" w:rsidRPr="00C07F0B" w:rsidRDefault="005B386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B386E" w:rsidRPr="00C07F0B" w:rsidRDefault="005B386E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где: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F0B">
        <w:rPr>
          <w:rFonts w:ascii="Times New Roman" w:hAnsi="Times New Roman" w:cs="Times New Roman"/>
          <w:sz w:val="28"/>
          <w:szCs w:val="28"/>
        </w:rPr>
        <w:t>P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областном бюджете на финансирование мероприятия;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F0B">
        <w:rPr>
          <w:rFonts w:ascii="Times New Roman" w:hAnsi="Times New Roman" w:cs="Times New Roman"/>
          <w:sz w:val="28"/>
          <w:szCs w:val="28"/>
        </w:rPr>
        <w:t>F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S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, равном 100, эффективность использования субсидии признается высокой, при значении показателя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S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от 90 до 99 - средней, при значении показателя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S</w:t>
      </w:r>
      <w:r w:rsidRPr="00C07F0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менее 90 - низкой.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07F0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C07F0B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области по состоянию на 31 декабря года значений показателей результативности использования субсидии, предусмотренных соглашением о предоставлении средств из федерального бюджета бюджетам субъектов Российской Федерации, заключаемым между Министерством спорта Российской Федерации и Правительством области, сроки возврата и объем федеральных средств, подлежащих возврату в доход областного бюджета, определяются в соответствии с </w:t>
      </w:r>
      <w:hyperlink r:id="rId22" w:history="1">
        <w:r w:rsidRPr="00C07F0B">
          <w:rPr>
            <w:rFonts w:ascii="Times New Roman" w:hAnsi="Times New Roman" w:cs="Times New Roman"/>
            <w:sz w:val="28"/>
            <w:szCs w:val="28"/>
          </w:rPr>
          <w:t>пунктами 22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3" w:history="1">
        <w:r w:rsidRPr="00C07F0B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из областного бюджета местным бюджетам Ярославской области, утвержденных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18. Остаток субсидии, не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же цели в соответствии с </w:t>
      </w:r>
      <w:hyperlink r:id="rId24" w:history="1">
        <w:r w:rsidRPr="00C07F0B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установлении отсутствия у муниципального образования Ярославской области потребности в субсидии остаток неиспользованных средств подлежит возврату в доход областного бюджета.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>19. Ответственность за нецелевое использование субсидии, а также за недостоверность представляемых сведений возлагается на уполномоченные ОМСУ.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и/или нарушения муниципальным образованием области условий ее предоставления к нему применяются бюджетные меры принуждения, предусмотренные </w:t>
      </w:r>
      <w:hyperlink r:id="rId25" w:history="1">
        <w:r w:rsidRPr="00C07F0B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C07F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порядке, установленном департаментом финансов.</w:t>
      </w:r>
    </w:p>
    <w:p w:rsidR="005B386E" w:rsidRPr="00C07F0B" w:rsidRDefault="005B38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F0B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C07F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7F0B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осуществляется в соответствии с действующим законодательством.</w:t>
      </w:r>
    </w:p>
    <w:sectPr w:rsidR="005B386E" w:rsidRPr="00C07F0B" w:rsidSect="00CF5157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157" w:rsidRDefault="00CF5157" w:rsidP="00CF5157">
      <w:pPr>
        <w:spacing w:after="0" w:line="240" w:lineRule="auto"/>
      </w:pPr>
      <w:r>
        <w:separator/>
      </w:r>
    </w:p>
  </w:endnote>
  <w:endnote w:type="continuationSeparator" w:id="0">
    <w:p w:rsidR="00CF5157" w:rsidRDefault="00CF5157" w:rsidP="00CF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157" w:rsidRDefault="00CF5157" w:rsidP="00CF5157">
      <w:pPr>
        <w:spacing w:after="0" w:line="240" w:lineRule="auto"/>
      </w:pPr>
      <w:r>
        <w:separator/>
      </w:r>
    </w:p>
  </w:footnote>
  <w:footnote w:type="continuationSeparator" w:id="0">
    <w:p w:rsidR="00CF5157" w:rsidRDefault="00CF5157" w:rsidP="00CF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340802"/>
      <w:docPartObj>
        <w:docPartGallery w:val="Page Numbers (Top of Page)"/>
        <w:docPartUnique/>
      </w:docPartObj>
    </w:sdtPr>
    <w:sdtContent>
      <w:p w:rsidR="00CF5157" w:rsidRDefault="00CF5157">
        <w:pPr>
          <w:pStyle w:val="a3"/>
          <w:jc w:val="center"/>
        </w:pPr>
        <w:r w:rsidRPr="00CF51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51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51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CF51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5157" w:rsidRDefault="00CF5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6E"/>
    <w:rsid w:val="005B386E"/>
    <w:rsid w:val="00C07F0B"/>
    <w:rsid w:val="00CF5157"/>
    <w:rsid w:val="00F6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8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5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157"/>
  </w:style>
  <w:style w:type="paragraph" w:styleId="a5">
    <w:name w:val="footer"/>
    <w:basedOn w:val="a"/>
    <w:link w:val="a6"/>
    <w:uiPriority w:val="99"/>
    <w:unhideWhenUsed/>
    <w:rsid w:val="00CF5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1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8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5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157"/>
  </w:style>
  <w:style w:type="paragraph" w:styleId="a5">
    <w:name w:val="footer"/>
    <w:basedOn w:val="a"/>
    <w:link w:val="a6"/>
    <w:uiPriority w:val="99"/>
    <w:unhideWhenUsed/>
    <w:rsid w:val="00CF5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C13A9104F22EF7FF4D124952D9C940729ACA81056735C8C08CE84143972EC824E993F686EF408F72F42E4878lDgFH" TargetMode="External"/><Relationship Id="rId13" Type="http://schemas.openxmlformats.org/officeDocument/2006/relationships/hyperlink" Target="consultantplus://offline/ref=82C13A9104F22EF7FF4D0C4444B5974576999D8B0D623C9C9DD3B31C149E249F71A692AAC3B3538F7BF42D4867D53FDAlAgBH" TargetMode="External"/><Relationship Id="rId18" Type="http://schemas.openxmlformats.org/officeDocument/2006/relationships/hyperlink" Target="consultantplus://offline/ref=82C13A9104F22EF7FF4D124952D9C9407392C783006C35C8C08CE84143972EC836E9CBFA8EE1568526BB681D74D636C5A2E8D8ED91FClCg0H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2C13A9104F22EF7FF4D124952D9C9407294C086076E68C2C8D5E443449871DF31A0C7FB87E45B8A79BE7D0C2CDA3ED2BDE9C6F193FDC9l2g8H" TargetMode="External"/><Relationship Id="rId7" Type="http://schemas.openxmlformats.org/officeDocument/2006/relationships/hyperlink" Target="consultantplus://offline/ref=82C13A9104F22EF7FF4D124952D9C9407392C7870D6635C8C08CE84143972EC836E9CBF882E5568526BB681D74D636C5A2E8D8ED91FClCg0H" TargetMode="External"/><Relationship Id="rId12" Type="http://schemas.openxmlformats.org/officeDocument/2006/relationships/hyperlink" Target="consultantplus://offline/ref=82C13A9104F22EF7FF4D0C4444B5974576999D8B05653A9994DEEE161CC7289D76A9CDAFC4A2538F72EA2C4978DC6B8AE7BDCBEE98E3C920701CF49Dl4gBH" TargetMode="External"/><Relationship Id="rId17" Type="http://schemas.openxmlformats.org/officeDocument/2006/relationships/hyperlink" Target="consultantplus://offline/ref=82C13A9104F22EF7FF4D124952D9C940729AC684006235C8C08CE84143972EC824E993F686EF408F72F42E4878lDgFH" TargetMode="External"/><Relationship Id="rId25" Type="http://schemas.openxmlformats.org/officeDocument/2006/relationships/hyperlink" Target="consultantplus://offline/ref=82C13A9104F22EF7FF4D124952D9C9407392C7870D6635C8C08CE84143972EC836E9CBF880E05A8526BB681D74D636C5A2E8D8ED91FClCg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C13A9104F22EF7FF4D0C4444B5974576999D8B05653A9A9CD0EE161CC7289D76A9CDAFC4A2538F72EA2C4A7FDC6B8AE7BDCBEE98E3C920701CF49Dl4gBH" TargetMode="External"/><Relationship Id="rId20" Type="http://schemas.openxmlformats.org/officeDocument/2006/relationships/hyperlink" Target="consultantplus://offline/ref=82C13A9104F22EF7FF4D124952D9C9407294C086076E68C2C8D5E443449871DF31A0C7FB87E7588679BE7D0C2CDA3ED2BDE9C6F193FDC9l2g8H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C13A9104F22EF7FF4D124952D9C9407292C480026C35C8C08CE84143972EC824E993F686EF408F72F42E4878lDgFH" TargetMode="External"/><Relationship Id="rId24" Type="http://schemas.openxmlformats.org/officeDocument/2006/relationships/hyperlink" Target="consultantplus://offline/ref=82C13A9104F22EF7FF4D124952D9C9407392C7870D6635C8C08CE84143972EC836E9CBFF81E4588526BB681D74D636C5A2E8D8ED91FClCg0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2C13A9104F22EF7FF4D124952D9C9407392C7870D6635C8C08CE84143972EC836E9CBFE86E455DA23AE794578DE21DAA3F6C4EF90lFg5H" TargetMode="External"/><Relationship Id="rId23" Type="http://schemas.openxmlformats.org/officeDocument/2006/relationships/hyperlink" Target="consultantplus://offline/ref=82C13A9104F22EF7FF4D0C4444B5974576999D8B05653A9A9CD0EE161CC7289D76A9CDAFC4A2538F72EA2D4E7CDC6B8AE7BDCBEE98E3C920701CF49Dl4gB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2C13A9104F22EF7FF4D0C4444B5974576999D8B0D623E969DD3B31C149E249F71A692B8C3EB5F8E72EC2C4F72836E9FF6E5C7E68FFCC83E6C1EF5l9g4H" TargetMode="External"/><Relationship Id="rId19" Type="http://schemas.openxmlformats.org/officeDocument/2006/relationships/hyperlink" Target="consultantplus://offline/ref=82C13A9104F22EF7FF4D0C4444B5974576999D8B05653C9C95D1EE161CC7289D76A9CDAFC4A2538F72E82D4F7CDC6B8AE7BDCBEE98E3C920701CF49Dl4g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C13A9104F22EF7FF4D0C4444B5974576999D8B05653A9A9CD0EE161CC7289D76A9CDAFD6A20B8373E3324979C93DDBA2lEg0H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82C13A9104F22EF7FF4D0C4444B5974576999D8B05653A9A9CD0EE161CC7289D76A9CDAFC4A2538F72EA2D4D70DC6B8AE7BDCBEE98E3C920701CF49Dl4gB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Колточенко Татьяна Владимировна</cp:lastModifiedBy>
  <cp:revision>3</cp:revision>
  <dcterms:created xsi:type="dcterms:W3CDTF">2018-10-19T07:32:00Z</dcterms:created>
  <dcterms:modified xsi:type="dcterms:W3CDTF">2018-10-19T13:28:00Z</dcterms:modified>
</cp:coreProperties>
</file>