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КРАТКИЙ КОММЕНТАРИЙ</w:t>
      </w:r>
      <w:r w:rsidR="00450969" w:rsidRPr="008F52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33AC" w:rsidRDefault="002F3FA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F933AC">
        <w:rPr>
          <w:rFonts w:ascii="Times New Roman" w:hAnsi="Times New Roman" w:cs="Times New Roman"/>
          <w:b/>
          <w:sz w:val="28"/>
          <w:szCs w:val="28"/>
        </w:rPr>
        <w:t xml:space="preserve">информационно-аналитическим материалам </w:t>
      </w:r>
    </w:p>
    <w:p w:rsidR="00F933AC" w:rsidRDefault="00F933A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исполнению межбюджетных трансфертов местным бюджетам </w:t>
      </w:r>
    </w:p>
    <w:p w:rsidR="00514294" w:rsidRPr="0078586F" w:rsidRDefault="00F933A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ластного бюджета з</w:t>
      </w:r>
      <w:r w:rsidR="002F3FAC">
        <w:rPr>
          <w:rFonts w:ascii="Times New Roman" w:hAnsi="Times New Roman" w:cs="Times New Roman"/>
          <w:b/>
          <w:sz w:val="28"/>
          <w:szCs w:val="28"/>
        </w:rPr>
        <w:t>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F3FA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F526C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3AC" w:rsidRDefault="0044346B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6B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F933AC">
        <w:rPr>
          <w:rFonts w:ascii="Times New Roman" w:hAnsi="Times New Roman" w:cs="Times New Roman"/>
          <w:sz w:val="28"/>
          <w:szCs w:val="28"/>
        </w:rPr>
        <w:t>межбюджетных трансфертов местным бюджетам из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ластного бюджета </w:t>
      </w:r>
      <w:r w:rsidR="00F933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933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933AC">
        <w:rPr>
          <w:rFonts w:ascii="Times New Roman" w:hAnsi="Times New Roman" w:cs="Times New Roman"/>
          <w:sz w:val="28"/>
          <w:szCs w:val="28"/>
        </w:rPr>
        <w:t>у составил 27580,7 млн. руб. при плане 29433,3 млн. руб. (93,7%); по отношению к прошлому году увеличился на 2090,5 млн. руб. (+8,2%).</w:t>
      </w:r>
    </w:p>
    <w:p w:rsidR="000A29A1" w:rsidRDefault="00F933AC" w:rsidP="00A90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Доля указанных расходов в общем объеме расходов равна 47,8</w:t>
      </w:r>
      <w:r w:rsidR="00A90FC3">
        <w:rPr>
          <w:rFonts w:ascii="Times New Roman" w:hAnsi="Times New Roman" w:cs="Times New Roman"/>
          <w:sz w:val="28"/>
          <w:szCs w:val="28"/>
        </w:rPr>
        <w:t>%;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F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лет данный показатель </w:t>
      </w:r>
      <w:r w:rsidR="00A90FC3">
        <w:rPr>
          <w:rFonts w:ascii="Times New Roman" w:hAnsi="Times New Roman" w:cs="Times New Roman"/>
          <w:sz w:val="28"/>
          <w:szCs w:val="28"/>
        </w:rPr>
        <w:t>неуклонно возрастал (в 2012 году – 40,5%, в 2015 году – 45,4%). По отношению к расчетному плановому уровню указа</w:t>
      </w:r>
      <w:r w:rsidR="00A90FC3">
        <w:rPr>
          <w:rFonts w:ascii="Times New Roman" w:hAnsi="Times New Roman" w:cs="Times New Roman"/>
          <w:sz w:val="28"/>
          <w:szCs w:val="28"/>
        </w:rPr>
        <w:t>н</w:t>
      </w:r>
      <w:r w:rsidR="00A90FC3">
        <w:rPr>
          <w:rFonts w:ascii="Times New Roman" w:hAnsi="Times New Roman" w:cs="Times New Roman"/>
          <w:sz w:val="28"/>
          <w:szCs w:val="28"/>
        </w:rPr>
        <w:t>ная доля больше на один процентный пункт при том, что общий объем ра</w:t>
      </w:r>
      <w:r w:rsidR="00A90FC3">
        <w:rPr>
          <w:rFonts w:ascii="Times New Roman" w:hAnsi="Times New Roman" w:cs="Times New Roman"/>
          <w:sz w:val="28"/>
          <w:szCs w:val="28"/>
        </w:rPr>
        <w:t>с</w:t>
      </w:r>
      <w:r w:rsidR="00A90FC3">
        <w:rPr>
          <w:rFonts w:ascii="Times New Roman" w:hAnsi="Times New Roman" w:cs="Times New Roman"/>
          <w:sz w:val="28"/>
          <w:szCs w:val="28"/>
        </w:rPr>
        <w:t>ходов, как правило, ниже планового значения; это свидетельствует о приор</w:t>
      </w:r>
      <w:r w:rsidR="00A90FC3">
        <w:rPr>
          <w:rFonts w:ascii="Times New Roman" w:hAnsi="Times New Roman" w:cs="Times New Roman"/>
          <w:sz w:val="28"/>
          <w:szCs w:val="28"/>
        </w:rPr>
        <w:t>и</w:t>
      </w:r>
      <w:r w:rsidR="00A90FC3">
        <w:rPr>
          <w:rFonts w:ascii="Times New Roman" w:hAnsi="Times New Roman" w:cs="Times New Roman"/>
          <w:sz w:val="28"/>
          <w:szCs w:val="28"/>
        </w:rPr>
        <w:t>тетном подходе к финансированию расходов на поддержку местных бюдж</w:t>
      </w:r>
      <w:r w:rsidR="00A90FC3">
        <w:rPr>
          <w:rFonts w:ascii="Times New Roman" w:hAnsi="Times New Roman" w:cs="Times New Roman"/>
          <w:sz w:val="28"/>
          <w:szCs w:val="28"/>
        </w:rPr>
        <w:t>е</w:t>
      </w:r>
      <w:r w:rsidR="00A90FC3">
        <w:rPr>
          <w:rFonts w:ascii="Times New Roman" w:hAnsi="Times New Roman" w:cs="Times New Roman"/>
          <w:sz w:val="28"/>
          <w:szCs w:val="28"/>
        </w:rPr>
        <w:t>тов.</w:t>
      </w:r>
      <w:r w:rsidR="00443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A04" w:rsidRDefault="002663A3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диаграммах приводится информация о распределении межбюдже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ных трансфертов местным бюджетам из областного бюджета </w:t>
      </w:r>
      <w:r w:rsidR="00A90F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201</w:t>
      </w:r>
      <w:r w:rsidR="00A90F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 Для большей наглядности </w:t>
      </w:r>
      <w:r w:rsidR="00505D8A">
        <w:rPr>
          <w:rFonts w:ascii="Times New Roman" w:hAnsi="Times New Roman" w:cs="Times New Roman"/>
          <w:sz w:val="28"/>
          <w:szCs w:val="28"/>
        </w:rPr>
        <w:t xml:space="preserve">отдельно </w:t>
      </w:r>
      <w:r>
        <w:rPr>
          <w:rFonts w:ascii="Times New Roman" w:hAnsi="Times New Roman" w:cs="Times New Roman"/>
          <w:sz w:val="28"/>
          <w:szCs w:val="28"/>
        </w:rPr>
        <w:t>выделен</w:t>
      </w:r>
      <w:r w:rsidR="00505D8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D8A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по каждому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пальному району и городскому округу.</w:t>
      </w:r>
      <w:r w:rsidR="00472A04">
        <w:rPr>
          <w:rFonts w:ascii="Times New Roman" w:hAnsi="Times New Roman" w:cs="Times New Roman"/>
          <w:sz w:val="28"/>
          <w:szCs w:val="28"/>
        </w:rPr>
        <w:t xml:space="preserve"> </w:t>
      </w:r>
      <w:r w:rsidR="004A788F">
        <w:rPr>
          <w:rFonts w:ascii="Times New Roman" w:hAnsi="Times New Roman" w:cs="Times New Roman"/>
          <w:sz w:val="28"/>
          <w:szCs w:val="28"/>
        </w:rPr>
        <w:t>П</w:t>
      </w:r>
      <w:r w:rsidR="004A788F">
        <w:rPr>
          <w:rFonts w:ascii="Times New Roman" w:hAnsi="Times New Roman" w:cs="Times New Roman"/>
          <w:sz w:val="28"/>
          <w:szCs w:val="28"/>
        </w:rPr>
        <w:t>о</w:t>
      </w:r>
      <w:r w:rsidR="004A788F">
        <w:rPr>
          <w:rFonts w:ascii="Times New Roman" w:hAnsi="Times New Roman" w:cs="Times New Roman"/>
          <w:sz w:val="28"/>
          <w:szCs w:val="28"/>
        </w:rPr>
        <w:t>мимо характеристики динамики поступлений, это позволяет также осуществлять определенные межбюдже</w:t>
      </w:r>
      <w:r w:rsidR="004A788F">
        <w:rPr>
          <w:rFonts w:ascii="Times New Roman" w:hAnsi="Times New Roman" w:cs="Times New Roman"/>
          <w:sz w:val="28"/>
          <w:szCs w:val="28"/>
        </w:rPr>
        <w:t>т</w:t>
      </w:r>
      <w:r w:rsidR="004A788F">
        <w:rPr>
          <w:rFonts w:ascii="Times New Roman" w:hAnsi="Times New Roman" w:cs="Times New Roman"/>
          <w:sz w:val="28"/>
          <w:szCs w:val="28"/>
        </w:rPr>
        <w:t xml:space="preserve">ные сравнения. </w:t>
      </w:r>
    </w:p>
    <w:p w:rsidR="00472A04" w:rsidRDefault="00A90FC3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сравнения </w:t>
      </w:r>
      <w:r w:rsidR="00804429">
        <w:rPr>
          <w:rFonts w:ascii="Times New Roman" w:hAnsi="Times New Roman" w:cs="Times New Roman"/>
          <w:sz w:val="28"/>
          <w:szCs w:val="28"/>
        </w:rPr>
        <w:t xml:space="preserve">с определенными оговорками можно также осуществить на основе удельных показателей (в расчете на душу населения). </w:t>
      </w:r>
      <w:proofErr w:type="gramStart"/>
      <w:r w:rsidR="00804429">
        <w:rPr>
          <w:rFonts w:ascii="Times New Roman" w:hAnsi="Times New Roman" w:cs="Times New Roman"/>
          <w:sz w:val="28"/>
          <w:szCs w:val="28"/>
        </w:rPr>
        <w:t>Особо</w:t>
      </w:r>
      <w:r w:rsidR="00B50878">
        <w:rPr>
          <w:rFonts w:ascii="Times New Roman" w:hAnsi="Times New Roman" w:cs="Times New Roman"/>
          <w:sz w:val="28"/>
          <w:szCs w:val="28"/>
        </w:rPr>
        <w:t>го</w:t>
      </w:r>
      <w:r w:rsidR="00804429">
        <w:rPr>
          <w:rFonts w:ascii="Times New Roman" w:hAnsi="Times New Roman" w:cs="Times New Roman"/>
          <w:sz w:val="28"/>
          <w:szCs w:val="28"/>
        </w:rPr>
        <w:t xml:space="preserve"> внимани</w:t>
      </w:r>
      <w:r w:rsidR="00B50878">
        <w:rPr>
          <w:rFonts w:ascii="Times New Roman" w:hAnsi="Times New Roman" w:cs="Times New Roman"/>
          <w:sz w:val="28"/>
          <w:szCs w:val="28"/>
        </w:rPr>
        <w:t>я</w:t>
      </w:r>
      <w:r w:rsidR="00804429">
        <w:rPr>
          <w:rFonts w:ascii="Times New Roman" w:hAnsi="Times New Roman" w:cs="Times New Roman"/>
          <w:sz w:val="28"/>
          <w:szCs w:val="28"/>
        </w:rPr>
        <w:t xml:space="preserve"> </w:t>
      </w:r>
      <w:r w:rsidR="00B50878">
        <w:rPr>
          <w:rFonts w:ascii="Times New Roman" w:hAnsi="Times New Roman" w:cs="Times New Roman"/>
          <w:sz w:val="28"/>
          <w:szCs w:val="28"/>
        </w:rPr>
        <w:t>заслуживает вопрос</w:t>
      </w:r>
      <w:r w:rsidR="00804429">
        <w:rPr>
          <w:rFonts w:ascii="Times New Roman" w:hAnsi="Times New Roman" w:cs="Times New Roman"/>
          <w:sz w:val="28"/>
          <w:szCs w:val="28"/>
        </w:rPr>
        <w:t xml:space="preserve"> о распределении дотаций на выра</w:t>
      </w:r>
      <w:r w:rsidR="00804429">
        <w:rPr>
          <w:rFonts w:ascii="Times New Roman" w:hAnsi="Times New Roman" w:cs="Times New Roman"/>
          <w:sz w:val="28"/>
          <w:szCs w:val="28"/>
        </w:rPr>
        <w:t>в</w:t>
      </w:r>
      <w:r w:rsidR="00804429">
        <w:rPr>
          <w:rFonts w:ascii="Times New Roman" w:hAnsi="Times New Roman" w:cs="Times New Roman"/>
          <w:sz w:val="28"/>
          <w:szCs w:val="28"/>
        </w:rPr>
        <w:t>нивание бюджетной обеспеченности и сбалансированность бюджетов мун</w:t>
      </w:r>
      <w:r w:rsidR="00804429">
        <w:rPr>
          <w:rFonts w:ascii="Times New Roman" w:hAnsi="Times New Roman" w:cs="Times New Roman"/>
          <w:sz w:val="28"/>
          <w:szCs w:val="28"/>
        </w:rPr>
        <w:t>и</w:t>
      </w:r>
      <w:r w:rsidR="00804429">
        <w:rPr>
          <w:rFonts w:ascii="Times New Roman" w:hAnsi="Times New Roman" w:cs="Times New Roman"/>
          <w:sz w:val="28"/>
          <w:szCs w:val="28"/>
        </w:rPr>
        <w:t>ципальных образований, поскольку данная форма финансовой помощи из областного бюджета, с одной стороны, призвана подтягивать относительно низкую бюджетную обеспеченность отдельных муниципальных образований к приемлемому уровню критерия выравнивания расчетной бюджетной обе</w:t>
      </w:r>
      <w:r w:rsidR="00804429">
        <w:rPr>
          <w:rFonts w:ascii="Times New Roman" w:hAnsi="Times New Roman" w:cs="Times New Roman"/>
          <w:sz w:val="28"/>
          <w:szCs w:val="28"/>
        </w:rPr>
        <w:t>с</w:t>
      </w:r>
      <w:r w:rsidR="00804429">
        <w:rPr>
          <w:rFonts w:ascii="Times New Roman" w:hAnsi="Times New Roman" w:cs="Times New Roman"/>
          <w:sz w:val="28"/>
          <w:szCs w:val="28"/>
        </w:rPr>
        <w:t>печенности</w:t>
      </w:r>
      <w:r w:rsidR="00B50878">
        <w:rPr>
          <w:rFonts w:ascii="Times New Roman" w:hAnsi="Times New Roman" w:cs="Times New Roman"/>
          <w:sz w:val="28"/>
          <w:szCs w:val="28"/>
        </w:rPr>
        <w:t>, а</w:t>
      </w:r>
      <w:bookmarkStart w:id="0" w:name="_GoBack"/>
      <w:bookmarkEnd w:id="0"/>
      <w:r w:rsidR="00B50878">
        <w:rPr>
          <w:rFonts w:ascii="Times New Roman" w:hAnsi="Times New Roman" w:cs="Times New Roman"/>
          <w:sz w:val="28"/>
          <w:szCs w:val="28"/>
        </w:rPr>
        <w:t xml:space="preserve"> с другой стороны, не давать повода к усилению иждивенч</w:t>
      </w:r>
      <w:r w:rsidR="00B50878">
        <w:rPr>
          <w:rFonts w:ascii="Times New Roman" w:hAnsi="Times New Roman" w:cs="Times New Roman"/>
          <w:sz w:val="28"/>
          <w:szCs w:val="28"/>
        </w:rPr>
        <w:t>е</w:t>
      </w:r>
      <w:r w:rsidR="00B50878">
        <w:rPr>
          <w:rFonts w:ascii="Times New Roman" w:hAnsi="Times New Roman" w:cs="Times New Roman"/>
          <w:sz w:val="28"/>
          <w:szCs w:val="28"/>
        </w:rPr>
        <w:t>ских настроений органов местного самоуправления.</w:t>
      </w:r>
      <w:proofErr w:type="gramEnd"/>
    </w:p>
    <w:sectPr w:rsidR="00472A04" w:rsidSect="0069757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82" w:rsidRDefault="006D3E82" w:rsidP="002375D6">
      <w:pPr>
        <w:spacing w:after="0" w:line="240" w:lineRule="auto"/>
      </w:pPr>
      <w:r>
        <w:separator/>
      </w:r>
    </w:p>
  </w:endnote>
  <w:endnote w:type="continuationSeparator" w:id="0">
    <w:p w:rsidR="006D3E82" w:rsidRDefault="006D3E82" w:rsidP="0023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82" w:rsidRDefault="006D3E82" w:rsidP="002375D6">
      <w:pPr>
        <w:spacing w:after="0" w:line="240" w:lineRule="auto"/>
      </w:pPr>
      <w:r>
        <w:separator/>
      </w:r>
    </w:p>
  </w:footnote>
  <w:footnote w:type="continuationSeparator" w:id="0">
    <w:p w:rsidR="006D3E82" w:rsidRDefault="006D3E82" w:rsidP="0023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623357"/>
      <w:docPartObj>
        <w:docPartGallery w:val="Page Numbers (Top of Page)"/>
        <w:docPartUnique/>
      </w:docPartObj>
    </w:sdtPr>
    <w:sdtEndPr/>
    <w:sdtContent>
      <w:p w:rsidR="001551AE" w:rsidRDefault="001551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FC3">
          <w:rPr>
            <w:noProof/>
          </w:rPr>
          <w:t>2</w:t>
        </w:r>
        <w:r>
          <w:fldChar w:fldCharType="end"/>
        </w:r>
      </w:p>
    </w:sdtContent>
  </w:sdt>
  <w:p w:rsidR="001551AE" w:rsidRDefault="001551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7AD9"/>
    <w:multiLevelType w:val="hybridMultilevel"/>
    <w:tmpl w:val="78F6D224"/>
    <w:lvl w:ilvl="0" w:tplc="8020CBD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2E462E"/>
    <w:multiLevelType w:val="hybridMultilevel"/>
    <w:tmpl w:val="05EC84E2"/>
    <w:lvl w:ilvl="0" w:tplc="6E309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A9A"/>
    <w:rsid w:val="00010090"/>
    <w:rsid w:val="000151FB"/>
    <w:rsid w:val="00021F65"/>
    <w:rsid w:val="000304B2"/>
    <w:rsid w:val="00033365"/>
    <w:rsid w:val="00034102"/>
    <w:rsid w:val="0005559F"/>
    <w:rsid w:val="00070A12"/>
    <w:rsid w:val="00076E70"/>
    <w:rsid w:val="00084F6B"/>
    <w:rsid w:val="000952C6"/>
    <w:rsid w:val="000A29A1"/>
    <w:rsid w:val="000A68E0"/>
    <w:rsid w:val="000A7E3A"/>
    <w:rsid w:val="000B5000"/>
    <w:rsid w:val="000C4DA4"/>
    <w:rsid w:val="000C4DD5"/>
    <w:rsid w:val="000D6A0B"/>
    <w:rsid w:val="000E4B61"/>
    <w:rsid w:val="000F2615"/>
    <w:rsid w:val="00100AB0"/>
    <w:rsid w:val="00101B5B"/>
    <w:rsid w:val="00103535"/>
    <w:rsid w:val="00104CF4"/>
    <w:rsid w:val="00116582"/>
    <w:rsid w:val="001208B9"/>
    <w:rsid w:val="00133760"/>
    <w:rsid w:val="001367D1"/>
    <w:rsid w:val="001467E2"/>
    <w:rsid w:val="001551AE"/>
    <w:rsid w:val="0015683E"/>
    <w:rsid w:val="00185B9A"/>
    <w:rsid w:val="00190482"/>
    <w:rsid w:val="001950DF"/>
    <w:rsid w:val="001A1764"/>
    <w:rsid w:val="001A439A"/>
    <w:rsid w:val="001C2F5F"/>
    <w:rsid w:val="001D4339"/>
    <w:rsid w:val="001D7F7E"/>
    <w:rsid w:val="001E074D"/>
    <w:rsid w:val="001E33DF"/>
    <w:rsid w:val="001E4462"/>
    <w:rsid w:val="001E794D"/>
    <w:rsid w:val="001F6A74"/>
    <w:rsid w:val="002005D1"/>
    <w:rsid w:val="00204265"/>
    <w:rsid w:val="00235E16"/>
    <w:rsid w:val="00236158"/>
    <w:rsid w:val="002375D6"/>
    <w:rsid w:val="002505DB"/>
    <w:rsid w:val="00253FA1"/>
    <w:rsid w:val="00265FDC"/>
    <w:rsid w:val="002663A3"/>
    <w:rsid w:val="00273D76"/>
    <w:rsid w:val="00281C06"/>
    <w:rsid w:val="00290659"/>
    <w:rsid w:val="002A363A"/>
    <w:rsid w:val="002A3C2A"/>
    <w:rsid w:val="002B68E4"/>
    <w:rsid w:val="002D3D96"/>
    <w:rsid w:val="002D4709"/>
    <w:rsid w:val="002E3C38"/>
    <w:rsid w:val="002E6413"/>
    <w:rsid w:val="002E7EBD"/>
    <w:rsid w:val="002F062A"/>
    <w:rsid w:val="002F3FAC"/>
    <w:rsid w:val="002F5CE2"/>
    <w:rsid w:val="00306381"/>
    <w:rsid w:val="0031677B"/>
    <w:rsid w:val="0031678A"/>
    <w:rsid w:val="00323288"/>
    <w:rsid w:val="0033018A"/>
    <w:rsid w:val="0033058B"/>
    <w:rsid w:val="00332580"/>
    <w:rsid w:val="003476CB"/>
    <w:rsid w:val="00352643"/>
    <w:rsid w:val="0035343A"/>
    <w:rsid w:val="00355D9A"/>
    <w:rsid w:val="003658CA"/>
    <w:rsid w:val="00366FB6"/>
    <w:rsid w:val="00376EB9"/>
    <w:rsid w:val="00385930"/>
    <w:rsid w:val="003942A5"/>
    <w:rsid w:val="003B0420"/>
    <w:rsid w:val="003B1471"/>
    <w:rsid w:val="003B40A5"/>
    <w:rsid w:val="003B5C64"/>
    <w:rsid w:val="003D265B"/>
    <w:rsid w:val="003D4DC3"/>
    <w:rsid w:val="003D6F15"/>
    <w:rsid w:val="003F7D5B"/>
    <w:rsid w:val="0040041A"/>
    <w:rsid w:val="0040288C"/>
    <w:rsid w:val="00403960"/>
    <w:rsid w:val="0041183A"/>
    <w:rsid w:val="00430910"/>
    <w:rsid w:val="0044346B"/>
    <w:rsid w:val="00450969"/>
    <w:rsid w:val="00451E25"/>
    <w:rsid w:val="00454E6D"/>
    <w:rsid w:val="0045591E"/>
    <w:rsid w:val="00457D19"/>
    <w:rsid w:val="00472A04"/>
    <w:rsid w:val="0047744D"/>
    <w:rsid w:val="00485A21"/>
    <w:rsid w:val="00494251"/>
    <w:rsid w:val="004A788F"/>
    <w:rsid w:val="004C1FCE"/>
    <w:rsid w:val="004C2F1A"/>
    <w:rsid w:val="004C7426"/>
    <w:rsid w:val="004C7CB9"/>
    <w:rsid w:val="004D0D35"/>
    <w:rsid w:val="004E7DA0"/>
    <w:rsid w:val="004F107C"/>
    <w:rsid w:val="004F3551"/>
    <w:rsid w:val="004F6243"/>
    <w:rsid w:val="00505D8A"/>
    <w:rsid w:val="00514294"/>
    <w:rsid w:val="00524CBA"/>
    <w:rsid w:val="00525B00"/>
    <w:rsid w:val="005411D0"/>
    <w:rsid w:val="005542C9"/>
    <w:rsid w:val="005640CB"/>
    <w:rsid w:val="00583AFB"/>
    <w:rsid w:val="005A42F5"/>
    <w:rsid w:val="005A69A2"/>
    <w:rsid w:val="005C4D90"/>
    <w:rsid w:val="005D342A"/>
    <w:rsid w:val="005E5489"/>
    <w:rsid w:val="005E60E9"/>
    <w:rsid w:val="005E66DA"/>
    <w:rsid w:val="00605A4D"/>
    <w:rsid w:val="00615BD8"/>
    <w:rsid w:val="006231DE"/>
    <w:rsid w:val="00642D03"/>
    <w:rsid w:val="006508DB"/>
    <w:rsid w:val="00651D1C"/>
    <w:rsid w:val="006525A3"/>
    <w:rsid w:val="00656EC6"/>
    <w:rsid w:val="00665FD4"/>
    <w:rsid w:val="00675B23"/>
    <w:rsid w:val="0068208B"/>
    <w:rsid w:val="006959AE"/>
    <w:rsid w:val="0069757A"/>
    <w:rsid w:val="006A32D7"/>
    <w:rsid w:val="006B57F8"/>
    <w:rsid w:val="006C3904"/>
    <w:rsid w:val="006D143C"/>
    <w:rsid w:val="006D3E82"/>
    <w:rsid w:val="006D6B77"/>
    <w:rsid w:val="006D7EE7"/>
    <w:rsid w:val="006E51AB"/>
    <w:rsid w:val="006E65E5"/>
    <w:rsid w:val="006E6EE6"/>
    <w:rsid w:val="006F63D4"/>
    <w:rsid w:val="00707CE8"/>
    <w:rsid w:val="00710630"/>
    <w:rsid w:val="00714F50"/>
    <w:rsid w:val="00715D74"/>
    <w:rsid w:val="00720685"/>
    <w:rsid w:val="007207E1"/>
    <w:rsid w:val="00736D2D"/>
    <w:rsid w:val="00747105"/>
    <w:rsid w:val="007648BC"/>
    <w:rsid w:val="007654B1"/>
    <w:rsid w:val="0077428D"/>
    <w:rsid w:val="00775E5E"/>
    <w:rsid w:val="0078586F"/>
    <w:rsid w:val="0079195B"/>
    <w:rsid w:val="007A2060"/>
    <w:rsid w:val="007B10D5"/>
    <w:rsid w:val="007B3262"/>
    <w:rsid w:val="007D3263"/>
    <w:rsid w:val="007D6FA2"/>
    <w:rsid w:val="007D72F3"/>
    <w:rsid w:val="007F2DF2"/>
    <w:rsid w:val="007F35ED"/>
    <w:rsid w:val="007F3730"/>
    <w:rsid w:val="00801EAE"/>
    <w:rsid w:val="00804429"/>
    <w:rsid w:val="008074B1"/>
    <w:rsid w:val="008112A0"/>
    <w:rsid w:val="00814909"/>
    <w:rsid w:val="008224D1"/>
    <w:rsid w:val="008249F5"/>
    <w:rsid w:val="00825C10"/>
    <w:rsid w:val="0083092B"/>
    <w:rsid w:val="008573B5"/>
    <w:rsid w:val="00860B7A"/>
    <w:rsid w:val="008611FB"/>
    <w:rsid w:val="00863A91"/>
    <w:rsid w:val="00895431"/>
    <w:rsid w:val="008C5B50"/>
    <w:rsid w:val="008C5D88"/>
    <w:rsid w:val="008D4A94"/>
    <w:rsid w:val="008D53E1"/>
    <w:rsid w:val="008D5DA5"/>
    <w:rsid w:val="008E3224"/>
    <w:rsid w:val="008F0BB8"/>
    <w:rsid w:val="008F526C"/>
    <w:rsid w:val="00901D3C"/>
    <w:rsid w:val="009055A4"/>
    <w:rsid w:val="009108AE"/>
    <w:rsid w:val="0092134F"/>
    <w:rsid w:val="009654EA"/>
    <w:rsid w:val="00977F0C"/>
    <w:rsid w:val="009B2014"/>
    <w:rsid w:val="009B21DF"/>
    <w:rsid w:val="009C079B"/>
    <w:rsid w:val="009F0837"/>
    <w:rsid w:val="009F16E4"/>
    <w:rsid w:val="009F2DFB"/>
    <w:rsid w:val="00A01ED2"/>
    <w:rsid w:val="00A025E7"/>
    <w:rsid w:val="00A12C6C"/>
    <w:rsid w:val="00A209A8"/>
    <w:rsid w:val="00A218A2"/>
    <w:rsid w:val="00A41773"/>
    <w:rsid w:val="00A45CC1"/>
    <w:rsid w:val="00A47D68"/>
    <w:rsid w:val="00A90FC3"/>
    <w:rsid w:val="00AA21A0"/>
    <w:rsid w:val="00AA3028"/>
    <w:rsid w:val="00AA34C7"/>
    <w:rsid w:val="00AC09A5"/>
    <w:rsid w:val="00AE19AB"/>
    <w:rsid w:val="00AE1EA6"/>
    <w:rsid w:val="00B422E3"/>
    <w:rsid w:val="00B501EC"/>
    <w:rsid w:val="00B50878"/>
    <w:rsid w:val="00B53C1D"/>
    <w:rsid w:val="00B74714"/>
    <w:rsid w:val="00B83D24"/>
    <w:rsid w:val="00BA7A57"/>
    <w:rsid w:val="00BB36F1"/>
    <w:rsid w:val="00BB7260"/>
    <w:rsid w:val="00BC60DF"/>
    <w:rsid w:val="00BE6401"/>
    <w:rsid w:val="00C151B3"/>
    <w:rsid w:val="00C43C81"/>
    <w:rsid w:val="00C44FDF"/>
    <w:rsid w:val="00C8494C"/>
    <w:rsid w:val="00C85AB4"/>
    <w:rsid w:val="00CA35CD"/>
    <w:rsid w:val="00CA3D5C"/>
    <w:rsid w:val="00CD219E"/>
    <w:rsid w:val="00CE1A9A"/>
    <w:rsid w:val="00CE62F6"/>
    <w:rsid w:val="00CF1A1C"/>
    <w:rsid w:val="00CF61BA"/>
    <w:rsid w:val="00CF7FDD"/>
    <w:rsid w:val="00D00BB2"/>
    <w:rsid w:val="00D03417"/>
    <w:rsid w:val="00D13F9E"/>
    <w:rsid w:val="00D37D10"/>
    <w:rsid w:val="00D407A9"/>
    <w:rsid w:val="00D9202C"/>
    <w:rsid w:val="00DA6C67"/>
    <w:rsid w:val="00DB47BE"/>
    <w:rsid w:val="00DC10C3"/>
    <w:rsid w:val="00DC758B"/>
    <w:rsid w:val="00DD0E4F"/>
    <w:rsid w:val="00DD1939"/>
    <w:rsid w:val="00DD787A"/>
    <w:rsid w:val="00DF1839"/>
    <w:rsid w:val="00E112E7"/>
    <w:rsid w:val="00E131FD"/>
    <w:rsid w:val="00E13B8A"/>
    <w:rsid w:val="00E179B6"/>
    <w:rsid w:val="00E30A00"/>
    <w:rsid w:val="00E342AA"/>
    <w:rsid w:val="00E36E78"/>
    <w:rsid w:val="00E44889"/>
    <w:rsid w:val="00E62847"/>
    <w:rsid w:val="00E71A8E"/>
    <w:rsid w:val="00E80147"/>
    <w:rsid w:val="00E82E5F"/>
    <w:rsid w:val="00E9155F"/>
    <w:rsid w:val="00EA06AB"/>
    <w:rsid w:val="00EA1363"/>
    <w:rsid w:val="00EA16C4"/>
    <w:rsid w:val="00EA4FD1"/>
    <w:rsid w:val="00EB5D29"/>
    <w:rsid w:val="00EC64E1"/>
    <w:rsid w:val="00ED28F0"/>
    <w:rsid w:val="00EE23EB"/>
    <w:rsid w:val="00EE421B"/>
    <w:rsid w:val="00EF432F"/>
    <w:rsid w:val="00F240F1"/>
    <w:rsid w:val="00F24E84"/>
    <w:rsid w:val="00F27B39"/>
    <w:rsid w:val="00F47289"/>
    <w:rsid w:val="00F67085"/>
    <w:rsid w:val="00F77DFB"/>
    <w:rsid w:val="00F9109D"/>
    <w:rsid w:val="00F933AC"/>
    <w:rsid w:val="00F9696B"/>
    <w:rsid w:val="00F9748A"/>
    <w:rsid w:val="00FC190E"/>
    <w:rsid w:val="00FC31D7"/>
    <w:rsid w:val="00FD1DC6"/>
    <w:rsid w:val="00FD2813"/>
    <w:rsid w:val="00FE38AB"/>
    <w:rsid w:val="00FF1E2D"/>
    <w:rsid w:val="00FF3B98"/>
    <w:rsid w:val="00FF4CFF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D278A-3D0E-47B3-B04B-2E9A5207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52</cp:revision>
  <cp:lastPrinted>2017-02-01T07:12:00Z</cp:lastPrinted>
  <dcterms:created xsi:type="dcterms:W3CDTF">2013-01-23T09:42:00Z</dcterms:created>
  <dcterms:modified xsi:type="dcterms:W3CDTF">2017-06-14T13:30:00Z</dcterms:modified>
</cp:coreProperties>
</file>