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955135" w:rsidRDefault="00150FD1" w:rsidP="00150FD1">
      <w:pPr>
        <w:widowControl w:val="0"/>
        <w:autoSpaceDE w:val="0"/>
        <w:autoSpaceDN w:val="0"/>
        <w:adjustRightInd w:val="0"/>
        <w:ind w:left="840" w:firstLine="720"/>
        <w:jc w:val="right"/>
        <w:rPr>
          <w:sz w:val="28"/>
          <w:szCs w:val="28"/>
        </w:rPr>
      </w:pPr>
      <w:bookmarkStart w:id="0" w:name="_GoBack"/>
      <w:bookmarkEnd w:id="0"/>
      <w:r w:rsidRPr="00A8417F">
        <w:rPr>
          <w:color w:val="000000"/>
          <w:sz w:val="28"/>
          <w:szCs w:val="28"/>
        </w:rPr>
        <w:t>Приложение</w:t>
      </w:r>
      <w:r>
        <w:rPr>
          <w:color w:val="000000"/>
          <w:sz w:val="28"/>
          <w:szCs w:val="28"/>
          <w:lang w:val="en-US"/>
        </w:rPr>
        <w:t> </w:t>
      </w:r>
      <w:r w:rsidR="00955135">
        <w:rPr>
          <w:color w:val="000000"/>
          <w:sz w:val="28"/>
          <w:szCs w:val="28"/>
        </w:rPr>
        <w:t>1</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Pr="00A8417F" w:rsidRDefault="00150FD1" w:rsidP="00150FD1">
      <w:pPr>
        <w:spacing w:before="120"/>
        <w:ind w:left="4394"/>
        <w:jc w:val="right"/>
        <w:rPr>
          <w:color w:val="000000"/>
          <w:sz w:val="28"/>
          <w:szCs w:val="28"/>
        </w:rPr>
      </w:pPr>
      <w:r w:rsidRPr="00A8417F">
        <w:rPr>
          <w:color w:val="000000"/>
          <w:sz w:val="28"/>
          <w:szCs w:val="28"/>
        </w:rPr>
        <w:t>от_______________ №_______</w:t>
      </w:r>
    </w:p>
    <w:p w:rsidR="00150FD1" w:rsidRPr="00FD4564" w:rsidRDefault="00150FD1" w:rsidP="00150FD1">
      <w:pPr>
        <w:ind w:left="4395"/>
        <w:jc w:val="right"/>
        <w:rPr>
          <w:sz w:val="28"/>
          <w:szCs w:val="28"/>
        </w:rPr>
      </w:pPr>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Pr>
          <w:sz w:val="28"/>
          <w:szCs w:val="28"/>
        </w:rPr>
        <w:t>15.12.2021 № 88</w:t>
      </w:r>
      <w:r w:rsidRPr="00FC2B7C">
        <w:rPr>
          <w:sz w:val="28"/>
          <w:szCs w:val="28"/>
        </w:rPr>
        <w:t>-з</w:t>
      </w:r>
    </w:p>
    <w:p w:rsidR="00150FD1" w:rsidRPr="00150FD1" w:rsidRDefault="00150FD1" w:rsidP="00150FD1">
      <w:pPr>
        <w:jc w:val="right"/>
        <w:rPr>
          <w:sz w:val="28"/>
          <w:szCs w:val="28"/>
        </w:rPr>
      </w:pPr>
    </w:p>
    <w:tbl>
      <w:tblPr>
        <w:tblOverlap w:val="never"/>
        <w:tblW w:w="12106" w:type="dxa"/>
        <w:jc w:val="center"/>
        <w:tblLayout w:type="fixed"/>
        <w:tblCellMar>
          <w:left w:w="0" w:type="dxa"/>
          <w:right w:w="0" w:type="dxa"/>
        </w:tblCellMar>
        <w:tblLook w:val="01E0" w:firstRow="1" w:lastRow="1" w:firstColumn="1" w:lastColumn="1" w:noHBand="0" w:noVBand="0"/>
      </w:tblPr>
      <w:tblGrid>
        <w:gridCol w:w="12106"/>
      </w:tblGrid>
      <w:tr w:rsidR="00480900" w:rsidTr="00150FD1">
        <w:trPr>
          <w:jc w:val="center"/>
        </w:trPr>
        <w:tc>
          <w:tcPr>
            <w:tcW w:w="12106" w:type="dxa"/>
            <w:tcMar>
              <w:top w:w="0" w:type="dxa"/>
              <w:left w:w="0" w:type="dxa"/>
              <w:bottom w:w="0" w:type="dxa"/>
              <w:right w:w="0" w:type="dxa"/>
            </w:tcMar>
          </w:tcPr>
          <w:p w:rsidR="00DE6887" w:rsidRDefault="0082669B" w:rsidP="00150FD1">
            <w:pPr>
              <w:ind w:left="1093" w:right="1232"/>
              <w:jc w:val="center"/>
              <w:rPr>
                <w:b/>
                <w:bCs/>
                <w:color w:val="000000"/>
                <w:sz w:val="28"/>
                <w:szCs w:val="28"/>
              </w:rPr>
            </w:pPr>
            <w:r>
              <w:rPr>
                <w:b/>
                <w:bCs/>
                <w:color w:val="000000"/>
                <w:sz w:val="28"/>
                <w:szCs w:val="28"/>
              </w:rPr>
              <w:t xml:space="preserve">Прогнозируемые доходы областного бюджета на 2022 год в соответствии </w:t>
            </w:r>
          </w:p>
          <w:p w:rsidR="00480900" w:rsidRDefault="0082669B" w:rsidP="00150FD1">
            <w:pPr>
              <w:ind w:left="1093" w:right="1232"/>
              <w:jc w:val="center"/>
              <w:rPr>
                <w:b/>
                <w:bCs/>
                <w:color w:val="000000"/>
                <w:sz w:val="28"/>
                <w:szCs w:val="28"/>
              </w:rPr>
            </w:pPr>
            <w:r>
              <w:rPr>
                <w:b/>
                <w:bCs/>
                <w:color w:val="000000"/>
                <w:sz w:val="28"/>
                <w:szCs w:val="28"/>
              </w:rPr>
              <w:t>с классификацией доходов бюджетов Российской Федерации</w:t>
            </w:r>
          </w:p>
          <w:p w:rsidR="00480900" w:rsidRDefault="00480900" w:rsidP="00EF13BE"/>
        </w:tc>
      </w:tr>
    </w:tbl>
    <w:p w:rsidR="00480900" w:rsidRDefault="00480900">
      <w:pPr>
        <w:rPr>
          <w:vanish/>
        </w:rPr>
      </w:pPr>
      <w:bookmarkStart w:id="1" w:name="__bookmark_1"/>
      <w:bookmarkEnd w:id="1"/>
    </w:p>
    <w:tbl>
      <w:tblPr>
        <w:tblOverlap w:val="never"/>
        <w:tblW w:w="10223" w:type="dxa"/>
        <w:tblInd w:w="-62" w:type="dxa"/>
        <w:tblLayout w:type="fixed"/>
        <w:tblLook w:val="01E0" w:firstRow="1" w:lastRow="1" w:firstColumn="1" w:lastColumn="1" w:noHBand="0" w:noVBand="0"/>
      </w:tblPr>
      <w:tblGrid>
        <w:gridCol w:w="2977"/>
        <w:gridCol w:w="4962"/>
        <w:gridCol w:w="1842"/>
        <w:gridCol w:w="442"/>
      </w:tblGrid>
      <w:tr w:rsidR="00766BD3" w:rsidTr="00766BD3">
        <w:trPr>
          <w:gridAfter w:val="1"/>
          <w:wAfter w:w="442" w:type="dxa"/>
          <w:tblHeader/>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center"/>
              <w:rPr>
                <w:color w:val="000000"/>
                <w:sz w:val="24"/>
                <w:szCs w:val="24"/>
              </w:rPr>
            </w:pPr>
            <w:r>
              <w:rPr>
                <w:color w:val="000000"/>
                <w:sz w:val="24"/>
                <w:szCs w:val="24"/>
              </w:rPr>
              <w:t>Код классификации</w:t>
            </w:r>
          </w:p>
          <w:p w:rsidR="00766BD3" w:rsidRDefault="00766BD3" w:rsidP="00F125C6">
            <w:pPr>
              <w:jc w:val="center"/>
              <w:rPr>
                <w:b/>
                <w:bCs/>
                <w:color w:val="000000"/>
                <w:sz w:val="24"/>
                <w:szCs w:val="24"/>
              </w:rPr>
            </w:pPr>
            <w:r>
              <w:rPr>
                <w:color w:val="000000"/>
                <w:sz w:val="24"/>
                <w:szCs w:val="24"/>
              </w:rPr>
              <w:t>доходов</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center"/>
              <w:rPr>
                <w:b/>
                <w:bCs/>
                <w:color w:val="000000"/>
                <w:sz w:val="24"/>
                <w:szCs w:val="24"/>
              </w:rPr>
            </w:pPr>
            <w:r>
              <w:rPr>
                <w:color w:val="000000"/>
                <w:sz w:val="24"/>
                <w:szCs w:val="24"/>
              </w:rPr>
              <w:t>Наименование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center"/>
            </w:pPr>
            <w:r>
              <w:rPr>
                <w:color w:val="000000"/>
                <w:sz w:val="24"/>
                <w:szCs w:val="24"/>
              </w:rPr>
              <w:t>2022 год</w:t>
            </w:r>
          </w:p>
          <w:p w:rsidR="00766BD3" w:rsidRDefault="00766BD3" w:rsidP="00F125C6">
            <w:pPr>
              <w:jc w:val="center"/>
              <w:rPr>
                <w:b/>
                <w:bCs/>
                <w:color w:val="000000"/>
                <w:sz w:val="24"/>
                <w:szCs w:val="24"/>
              </w:rPr>
            </w:pPr>
            <w:r>
              <w:rPr>
                <w:color w:val="000000"/>
                <w:sz w:val="24"/>
                <w:szCs w:val="24"/>
              </w:rPr>
              <w:t>(руб.)</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000 1 00 00000 00 0000 000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80 718 548 490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000 1 01 00000 00 0000 000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48 496 557 959</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000 1 01 01000 00 0000 110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на прибыль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26 704 668 389</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000 1 01 02000 01 0000 110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21 791 889 570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000 1 03 00000 00 0000 000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17 116 212 131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000 1 03 02000 01 0000 110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17 116 212 131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000 1 05 00000 00 0000 000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6 181 032 000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000 1 05 01000 00 0000 110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6 051 819 000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000 1 05 06000 01 0000 110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на профессиональный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129 213 000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000 1 06 00000 00 0000 000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7 482 728 000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000 1 06 02000 02 0000 110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на имущество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5 946 700 000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000 1 06 04000 02 0000 110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Транспортный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1 532 500 000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000 1 06 05000 02 0000 110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на игорный бизнес</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3 528 000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000 1 07 00000 00 0000 000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17 207 000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000 1 07 01000 01 0000 110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Налог на добычу полезных ископаемых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11 400 000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000 1 07 04000 01 0000 110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 xml:space="preserve">Сборы за пользование объектами животного мира и за пользование объектами водных </w:t>
            </w:r>
            <w:r>
              <w:rPr>
                <w:color w:val="000000"/>
                <w:sz w:val="24"/>
                <w:szCs w:val="24"/>
              </w:rPr>
              <w:lastRenderedPageBreak/>
              <w:t>биологических ресурсов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lastRenderedPageBreak/>
              <w:t>5 807 000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lastRenderedPageBreak/>
              <w:t>000 1 08 00000 00 0000 000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ГОСУДАРСТВЕННАЯ ПОШЛИНА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194 428 340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000 1 11 00000 00 0000 000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199 923 957</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000 1 11 01000 00 0000 120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5 109 000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000 1 11 02000 00 0000 120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Доходы от размещения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169 911 765</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000 1 11 03000 00 0000 120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3 290 982</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000 1 11 05000 00 0000 120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17 145 210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000 1 11 05300 00 0000 120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000 1 11 07000 00 0000 120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Платежи от государственных и муниципальных унитарных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687 000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000 1 11 08000 00 0000 120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3 080 000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000 1 12 00000 00 0000 000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ПЛАТЕЖИ ПРИ ПОЛЬЗОВАНИИ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262 433 000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lastRenderedPageBreak/>
              <w:t>000 1 12 01000 01 0000 120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Плата за негативное воздействие на окружающую среду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70 083 000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000 1 12 02000 00 0000 120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Платежи при пользовании недрами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11 150 000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000 1 12 04000 00 0000 120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Плата за использование лесов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181 200 000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000 1 13 00000 00 0000 000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60 353 376</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000 1 14 00000 00 0000 000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44 606 779</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000 1 15 00000 00 0000 000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АДМИНИСТРАТИВНЫЕ ПЛАТЕЖИ И СБОРЫ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250 000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000 1 15 02000 00 0000 140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250 000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000 1 16 00000 00 0000 000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662 615 948</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000 1 17 00000 00 0000 000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000 1 17 05000 00 0000 180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000 2 00 00000 00 0000 000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25 809 400 526</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000 2 02 00000 00 0000 000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23 594 220 653</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000 2 02 10000 00 0000 150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Дотации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1 442 898 700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000 2 02 15009 02 0000 150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889 442 000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000 2 02 15549 02 0000 150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553 456 700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000 2 02 20000 00 0000 150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13 798 553 101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000 2 02 25013 02 0000 150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965 661 200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000 2 02 25021 02 0000 150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299 638 000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000 2 02 25027 02 0000 150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15 980 400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000 2 02 25028 02 0000 150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3 439 800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000 2 02 25065 02 0000 150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247 294 400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000 2 02 25066 02 0000 150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457 400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000 2 02 25081 02 0000 150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6 322 700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000 2 02 25082 02 0000 150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59 718 800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000 2 02 25084 02 0000 150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687 406 800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000 2 02 25086 02 0000 150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766 500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000 2 02 25097 02 0000 150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6 858 400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000 2 02 25114 02 0000 150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71 148 800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000 2 02 25138 02 0000 150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18 980 000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000 2 02 25169 02 0000 150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91 865 800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000 2 02 25173 02 0000 150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20 586 400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000 2 02 25187 02 0000 150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15 263 600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37 301 900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15 965 600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000 2 02 25210 02 0000 150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83 682 400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000 2 02 25228 02 0000 150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8 082 565</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000 2 02 25229 02 0000 150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7 116 761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000 2 02 25230 02 0000 150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166 473 100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000 2 02 25239 02 0000 150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124 747 200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000 2 02 25242 02 0000 150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395 108 700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000 2 02 25243 02 0000 150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156 936 700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000 2 02 25251 02 0000 150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720 000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000 2 02 25256 02 0000 150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8 760 000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000 2 02 25261 02 0000 150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развитие заправочной инфраструктуры компримированного природного газа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78 840 000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000 2 02 25291 02 0000 150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9 600 000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000 2 02 25299 02 0000 150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160 600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1 948 675 800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000 2 02 25304 02 0000 150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471 856 100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000 2 02 25331 02 0000 150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150 000 000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000 2 02 25341 02 0000 150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3 500 000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000 2 02 25342 02 0000 150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14 958 000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000 2 02 25359 02 0000 150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59 721 100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000 2 02 25365 02 0000 150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978 003 200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000 2 02 25394 02 0000 150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1 230 906 300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107 977 700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000 2 02 25404 02 0000 150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216 822 800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000 2 02 25456 02 0000 150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255 800 000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000 2 02 25462 02 0000 150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12 375 400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000 2 02 25466 02 0000 150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5 004 700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000 2 02 25467 02 0000 150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11 347 900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000 2 02 25480 02 0000 150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50 920 000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000 2 02 25497 02 0000 150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17 293 100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94 902 100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000 2 02 25508 02 0000 150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156 104 500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000 2 02 25513 02 0000 150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133 326 900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000 2 02 25514 02 0000 150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8 628 400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000 2 02 25517 02 0000 150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13 561 400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000 2 02 25519 02 0000 150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35 923 800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000 2 02 25520 02 0000 150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444 486 000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000 2 02 25527 02 0000 150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119 912 535</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000 2 02 25554 02 0000 150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12 560 400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000 2 02 25555 02 0000 150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445 499 400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000 2 02 25576 02 0000 150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12 058 500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000 2 02 25586 02 0000 150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138 118 700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8 844 700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000 2 02 25598 02 0000 150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14 039 500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000 2 02 25750 02 0000 150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70 564 000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000 2 02 25752 02 0000 150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70 853 300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000 2 02 25753 02 0000 150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56 857 340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000 2 02 27111 02 0000 150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800 000 000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000 2 02 27121 02 0000 150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258 392 000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000 2 02 27227 02 0000 150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1 335 104 500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000 2 02 27336 02 0000 150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3 291 200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000 2 02 27377 02 0000 150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320 319 100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000 2 02 27576 02 0000 150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87 496 000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000 2 02 29001 02 0000 150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17 662 200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000 2 02 30000 00 0000 150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Субвенции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3 186 423 601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000 2 02 35090 02 0000 150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2 000 000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000 2 02 35118 02 0000 150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15 772 400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000 2 02 35120 02 0000 150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1 097 900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000 2 02 35128 02 0000 150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5 239 100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000 2 02 35129 02 0000 150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152 178 000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000 2 02 35134 02 0000 150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w:t>
            </w:r>
            <w:r>
              <w:rPr>
                <w:color w:val="000000"/>
                <w:sz w:val="24"/>
                <w:szCs w:val="24"/>
                <w:lang w:val="en-US"/>
              </w:rPr>
              <w:t> </w:t>
            </w:r>
            <w:r>
              <w:rPr>
                <w:color w:val="000000"/>
                <w:sz w:val="24"/>
                <w:szCs w:val="24"/>
              </w:rPr>
              <w:t>обеспечении жильем ветеранов Великой Отечественной войны 1941 – 1945 годов"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10 500 800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000 2 02 35135 02 0000 150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w:t>
            </w:r>
            <w:r>
              <w:rPr>
                <w:color w:val="000000"/>
                <w:sz w:val="24"/>
                <w:szCs w:val="24"/>
                <w:lang w:val="en-US"/>
              </w:rPr>
              <w:t> </w:t>
            </w:r>
            <w:r>
              <w:rPr>
                <w:color w:val="000000"/>
                <w:sz w:val="24"/>
                <w:szCs w:val="24"/>
              </w:rPr>
              <w:t>ветеранах"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13 232 100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000 2 02 35176 02 0000 150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27 227 200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000 2 02 35220 02 0000 150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141 322 501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000 2 02 35240 02 0000 150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54 200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000 2 02 35250 02 0000 150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807 970 000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000 2 02 35290 02 0000 150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456 707 700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000 2 02 35345 02 0000 150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26 375 100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000 2 02 35429 02 0000 150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16 778 000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000 2 02 35460 02 0000 150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240 394 100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000 2 02 35485 02 0000 150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8 600 600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000 2 02 35573 02 0000 150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1 170 743 400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000 2 02 35900 02 0000 150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90 230 500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000 2 02 40000 00 0000 150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Иные межбюджетные трансферты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5 166 345 251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000 2 02 45141 02 0000 150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17 600 000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000 2 02 45142 02 0000 150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8 000 000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000 2 02 45160 02 0000 150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Всероссийского форума профессиональной ориентации "ПроеКТОриЯ"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118 522 500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000 2 02 45161 02 0000 150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78 498 800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193 221 700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000 2 02 45192 02 0000 150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122 332 000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000 2 02 45198 02 0000 150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986 351</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000 2 02 45216 02 0000 150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4 399 500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000 2 02 45252 02 0000 150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51 600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000 2 02 45289 02 0000 150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12 017 500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000 2 02 45303 02 0000 150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518 716 800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000 2 02 45363 02 0000 150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93 457 600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000 2 02 45368 02 0000 150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8 605 500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000 2 02 45422 02 0000 150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23 516 600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000 2 02 45424 02 0000 150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151 935 400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000 2 02 45433 02 0000 150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23 116 000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000 2 02 45453 02 0000 150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2 000 000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000 2 02 45454 02 0000 150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20 000 000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000 2 02 45468 02 0000 150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502 300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000 2 02 45784 02 0000 150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3 331 156 900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000 2 02 45787 02 0000 150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6 275 600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000 2 02 49001 02 0000 150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431 432 600</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000 2 03 00000 00 0000 000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2 176 256 208</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000 2 03 02000 02 0000 150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2 176 256 208</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000 2 03 02040 02 0000 150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766BD3">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2 176 256 208</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000 2 04 00000 00 0000 000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БЕЗВОЗМЕЗДНЫЕ ПОСТУПЛЕНИЯ ОТ НЕГОСУДАРСТВЕННЫХ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38 923 665</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000 2 04 02000 02 0000 150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38 923 665</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000 2 04 02040 02 0000 150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29 307 264</w:t>
            </w:r>
          </w:p>
        </w:tc>
      </w:tr>
      <w:tr w:rsidR="00766BD3" w:rsidTr="00766BD3">
        <w:trPr>
          <w:gridAfter w:val="1"/>
          <w:wAfter w:w="442"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000 2 04 02099 02 0000 150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color w:val="000000"/>
                <w:sz w:val="24"/>
                <w:szCs w:val="24"/>
              </w:rPr>
            </w:pPr>
            <w:r>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66BD3" w:rsidRDefault="00766BD3" w:rsidP="00F125C6">
            <w:pPr>
              <w:jc w:val="right"/>
              <w:rPr>
                <w:color w:val="000000"/>
                <w:sz w:val="24"/>
                <w:szCs w:val="24"/>
              </w:rPr>
            </w:pPr>
            <w:r>
              <w:rPr>
                <w:color w:val="000000"/>
                <w:sz w:val="24"/>
                <w:szCs w:val="24"/>
              </w:rPr>
              <w:t>9 616 401</w:t>
            </w:r>
          </w:p>
        </w:tc>
      </w:tr>
      <w:tr w:rsidR="00766BD3" w:rsidTr="00766BD3">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66BD3" w:rsidRDefault="00766BD3" w:rsidP="00F125C6">
            <w:pPr>
              <w:rPr>
                <w:b/>
                <w:bCs/>
                <w:color w:val="000000"/>
                <w:sz w:val="24"/>
                <w:szCs w:val="24"/>
              </w:rPr>
            </w:pPr>
            <w:r>
              <w:rPr>
                <w:b/>
                <w:bCs/>
                <w:color w:val="000000"/>
                <w:sz w:val="24"/>
                <w:szCs w:val="24"/>
              </w:rPr>
              <w:t>Итого</w:t>
            </w:r>
          </w:p>
        </w:tc>
        <w:tc>
          <w:tcPr>
            <w:tcW w:w="4962"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766BD3" w:rsidRDefault="00766BD3" w:rsidP="00F125C6">
            <w:pPr>
              <w:rPr>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766BD3" w:rsidRDefault="00766BD3" w:rsidP="00F125C6">
            <w:pPr>
              <w:jc w:val="right"/>
              <w:rPr>
                <w:b/>
                <w:bCs/>
                <w:color w:val="000000"/>
                <w:sz w:val="24"/>
                <w:szCs w:val="24"/>
              </w:rPr>
            </w:pPr>
            <w:r>
              <w:rPr>
                <w:b/>
                <w:bCs/>
                <w:color w:val="000000"/>
                <w:sz w:val="24"/>
                <w:szCs w:val="24"/>
              </w:rPr>
              <w:t>106 527 949 016</w:t>
            </w:r>
          </w:p>
        </w:tc>
        <w:tc>
          <w:tcPr>
            <w:tcW w:w="442" w:type="dxa"/>
            <w:tcBorders>
              <w:left w:val="single" w:sz="4" w:space="0" w:color="auto"/>
            </w:tcBorders>
          </w:tcPr>
          <w:p w:rsidR="00766BD3" w:rsidRDefault="00766BD3" w:rsidP="00766BD3">
            <w:pPr>
              <w:rPr>
                <w:b/>
                <w:bCs/>
                <w:color w:val="000000"/>
                <w:sz w:val="24"/>
                <w:szCs w:val="24"/>
              </w:rPr>
            </w:pPr>
            <w:r w:rsidRPr="00506331">
              <w:rPr>
                <w:snapToGrid w:val="0"/>
                <w:sz w:val="28"/>
                <w:szCs w:val="28"/>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3E" w:rsidRDefault="00511C3E" w:rsidP="00480900">
      <w:r>
        <w:separator/>
      </w:r>
    </w:p>
  </w:endnote>
  <w:endnote w:type="continuationSeparator" w:id="0">
    <w:p w:rsidR="00511C3E" w:rsidRDefault="00511C3E"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DA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3E" w:rsidRDefault="00511C3E" w:rsidP="00480900">
      <w:r>
        <w:separator/>
      </w:r>
    </w:p>
  </w:footnote>
  <w:footnote w:type="continuationSeparator" w:id="0">
    <w:p w:rsidR="00511C3E" w:rsidRDefault="00511C3E"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480900" w:rsidTr="00150FD1">
      <w:tc>
        <w:tcPr>
          <w:tcW w:w="10173" w:type="dxa"/>
        </w:tcPr>
        <w:p w:rsidR="00480900" w:rsidRDefault="00480900" w:rsidP="00150FD1">
          <w:pPr>
            <w:tabs>
              <w:tab w:val="left" w:pos="9531"/>
            </w:tabs>
            <w:ind w:left="-1560"/>
            <w:jc w:val="center"/>
            <w:rPr>
              <w:color w:val="000000"/>
              <w:sz w:val="28"/>
              <w:szCs w:val="28"/>
            </w:rPr>
          </w:pPr>
          <w:r>
            <w:fldChar w:fldCharType="begin"/>
          </w:r>
          <w:r w:rsidR="0082669B">
            <w:rPr>
              <w:color w:val="000000"/>
              <w:sz w:val="28"/>
              <w:szCs w:val="28"/>
            </w:rPr>
            <w:instrText>PAGE</w:instrText>
          </w:r>
          <w:r>
            <w:fldChar w:fldCharType="separate"/>
          </w:r>
          <w:r w:rsidR="00C24DAC">
            <w:rPr>
              <w:noProof/>
              <w:color w:val="000000"/>
              <w:sz w:val="28"/>
              <w:szCs w:val="28"/>
            </w:rPr>
            <w:t>2</w:t>
          </w:r>
          <w:r>
            <w:fldChar w:fldCharType="end"/>
          </w:r>
        </w:p>
        <w:p w:rsidR="00480900" w:rsidRDefault="0048090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150FD1"/>
    <w:rsid w:val="001E4700"/>
    <w:rsid w:val="002643A5"/>
    <w:rsid w:val="00271EB4"/>
    <w:rsid w:val="00480900"/>
    <w:rsid w:val="00495803"/>
    <w:rsid w:val="00511C3E"/>
    <w:rsid w:val="00637392"/>
    <w:rsid w:val="00766BD3"/>
    <w:rsid w:val="0082399D"/>
    <w:rsid w:val="0082669B"/>
    <w:rsid w:val="00914B40"/>
    <w:rsid w:val="00955135"/>
    <w:rsid w:val="00AE2A16"/>
    <w:rsid w:val="00C24DAC"/>
    <w:rsid w:val="00C6764C"/>
    <w:rsid w:val="00CA1888"/>
    <w:rsid w:val="00DE6887"/>
    <w:rsid w:val="00E2007E"/>
    <w:rsid w:val="00EF13BE"/>
    <w:rsid w:val="00F8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4771</Words>
  <Characters>27196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2022-09-23T06:44:00Z</cp:lastPrinted>
  <dcterms:created xsi:type="dcterms:W3CDTF">2022-11-18T07:47:00Z</dcterms:created>
  <dcterms:modified xsi:type="dcterms:W3CDTF">2022-11-18T07:47:00Z</dcterms:modified>
</cp:coreProperties>
</file>