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B6" w:rsidRPr="000A1757" w:rsidRDefault="003633B6" w:rsidP="00DC09A0">
      <w:pPr>
        <w:pStyle w:val="ConsPlusNormal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757">
        <w:rPr>
          <w:rFonts w:ascii="Times New Roman" w:hAnsi="Times New Roman" w:cs="Times New Roman"/>
          <w:sz w:val="28"/>
          <w:szCs w:val="28"/>
        </w:rPr>
        <w:t>Утвержден</w:t>
      </w:r>
      <w:r w:rsidR="00DC09A0">
        <w:rPr>
          <w:rFonts w:ascii="Times New Roman" w:hAnsi="Times New Roman" w:cs="Times New Roman"/>
          <w:sz w:val="28"/>
          <w:szCs w:val="28"/>
        </w:rPr>
        <w:t>а</w:t>
      </w:r>
    </w:p>
    <w:p w:rsidR="003633B6" w:rsidRPr="000A1757" w:rsidRDefault="003633B6" w:rsidP="00DC09A0">
      <w:pPr>
        <w:pStyle w:val="ConsPlusNormal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Постановление</w:t>
      </w:r>
      <w:r w:rsidR="00012E4E" w:rsidRPr="000A1757">
        <w:rPr>
          <w:rFonts w:ascii="Times New Roman" w:hAnsi="Times New Roman" w:cs="Times New Roman"/>
          <w:sz w:val="28"/>
          <w:szCs w:val="28"/>
        </w:rPr>
        <w:t>м</w:t>
      </w:r>
      <w:r w:rsidRPr="000A175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DC09A0" w:rsidRDefault="003633B6" w:rsidP="00DC09A0">
      <w:pPr>
        <w:pStyle w:val="ConsPlusNormal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Я</w:t>
      </w:r>
      <w:r w:rsidR="00DC09A0">
        <w:rPr>
          <w:rFonts w:ascii="Times New Roman" w:hAnsi="Times New Roman" w:cs="Times New Roman"/>
          <w:sz w:val="28"/>
          <w:szCs w:val="28"/>
        </w:rPr>
        <w:t>рославской области</w:t>
      </w:r>
    </w:p>
    <w:p w:rsidR="005E3AA8" w:rsidRPr="000A1757" w:rsidRDefault="003633B6" w:rsidP="00DC09A0">
      <w:pPr>
        <w:pStyle w:val="ConsPlusNormal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от 20.01.2020 </w:t>
      </w:r>
      <w:r w:rsidR="00DC09A0">
        <w:rPr>
          <w:rFonts w:ascii="Times New Roman" w:hAnsi="Times New Roman" w:cs="Times New Roman"/>
          <w:sz w:val="28"/>
          <w:szCs w:val="28"/>
        </w:rPr>
        <w:t>№</w:t>
      </w:r>
      <w:r w:rsidRPr="000A1757">
        <w:rPr>
          <w:rFonts w:ascii="Times New Roman" w:hAnsi="Times New Roman" w:cs="Times New Roman"/>
          <w:sz w:val="28"/>
          <w:szCs w:val="28"/>
        </w:rPr>
        <w:t xml:space="preserve"> 11-п</w:t>
      </w:r>
    </w:p>
    <w:p w:rsidR="003633B6" w:rsidRPr="000A1757" w:rsidRDefault="003633B6" w:rsidP="00596F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0A1757" w:rsidP="00596F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МЕТОДИКА</w:t>
      </w:r>
    </w:p>
    <w:p w:rsidR="005E3AA8" w:rsidRPr="000A1757" w:rsidRDefault="000A1757" w:rsidP="000A175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РАСПРЕДЕЛЕНИЯ И ПРАВИЛА ПРЕДОСТАВЛЕНИЯ ИНЫХ 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57">
        <w:rPr>
          <w:rFonts w:ascii="Times New Roman" w:hAnsi="Times New Roman" w:cs="Times New Roman"/>
          <w:sz w:val="28"/>
          <w:szCs w:val="28"/>
        </w:rPr>
        <w:t>ТРАНСФЕРТОВ НА БЛАГОУСТРОЙСТВО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57">
        <w:rPr>
          <w:rFonts w:ascii="Times New Roman" w:hAnsi="Times New Roman" w:cs="Times New Roman"/>
          <w:sz w:val="28"/>
          <w:szCs w:val="28"/>
        </w:rPr>
        <w:t>УСТАНОВКУ ДЕТСКИХ ИГРОВЫХ ПЛОЩАДОК И ОБУСТРОЙСТВО ТЕРРИТОРИЙ</w:t>
      </w:r>
    </w:p>
    <w:p w:rsidR="005E3AA8" w:rsidRPr="000A1757" w:rsidRDefault="000A1757" w:rsidP="00596F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ДЛЯ ВЫГУЛА ЖИВОТНЫХ</w:t>
      </w:r>
    </w:p>
    <w:p w:rsidR="005E3AA8" w:rsidRPr="000A1757" w:rsidRDefault="005E3AA8" w:rsidP="00596FE9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1757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благоустройство дворовых территорий, установку детских игровых площадок и обустройство территорий для выгула животных (далее - иные межбюджетные трансферты) осуществляется в рамках региональной целевой программы "Создание комфортной городской среды на территории Ярославской области" на 2020 - 2024 годы, утвержденной постановлением Правительства области от 20.01.2020 N 11-п "Об утверждении региональной целевой программы "Создание комфортной городской среды на территории Ярославской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области" на 2020 - 2024 годы".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2. Иные межбюджетные трансферты предусмотрены на софинансирование расходных обязательств муниципальных образований Ярославской области, возникающих при благоустройстве дворовых и общественных территорий, обустройстве территорий для выгула животных.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Получателями иных межбюджетных трансфертов являются муниципальные образования Ярославской области - поселения и городские округа.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Критериями отбора муниципальных образований области для предоставления иных межбюджетных трансфертов являются: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наличие в муниципальных образованиях области дворовых территорий, техническое состояние которых не соответствует санитарным и гигиеническим нормам, высокому уровню благоустройства;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количество жителей многоквартирных домов, образующих дворовую территорию, - не менее 300 человек.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в целях обеспечения реализации мероприятий на благоустройство дворовых и общественных территорий, обустройство территорий для выгула животных.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4. Условия предоставления и расходования иных межбюджетных трансфертов: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иных межбюджетных трансфертов (далее - соглашение), заключенного между департаментом жилищно-коммунального хозяйства Ярославской области (далее - департамент), являющимся главным распорядителем бюджетных средств, и </w:t>
      </w:r>
      <w:r w:rsidRPr="000A1757">
        <w:rPr>
          <w:rFonts w:ascii="Times New Roman" w:hAnsi="Times New Roman" w:cs="Times New Roman"/>
          <w:sz w:val="28"/>
          <w:szCs w:val="28"/>
        </w:rPr>
        <w:lastRenderedPageBreak/>
        <w:t>администрациями муниципальных образований области - получателей иных межбюджетных трансфертов (далее - получатели);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наличие муниципальных программ;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иных межбюджетных трансфертов;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- выполнение требований к показателям результата использования иных межбюджетных трансфертов, установленных </w:t>
      </w:r>
      <w:hyperlink w:anchor="P42" w:history="1">
        <w:r w:rsidRPr="000A175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Методики и правил, требований к оценке результативности и эффективности использования иных межбюджетных трансфертов, установленных </w:t>
      </w:r>
      <w:hyperlink w:anchor="P69" w:history="1">
        <w:r w:rsidRPr="000A1757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Методики и правил, требований к срокам, порядку и формам представления отчетности об использовании иных межбюджетных трансфертов, установленных </w:t>
      </w:r>
      <w:hyperlink w:anchor="P58" w:history="1">
        <w:r w:rsidRPr="000A1757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Методики и правил;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возврат получателем в доход областного бюджета средств, источником финансового обеспечения которых являются иные межбюджетные трансферты из областного бюджета, при невыполнении получателем предусмотренных соглашением обязательств по достижению показателей результата использования иных межбюджетных трансфертов.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5. Расчет размера иных межбюджетных трансфертов (М), предоставляемых муниципальным образованиям области, осуществляется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М = К</w:t>
      </w:r>
      <w:proofErr w:type="gramStart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x Р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1757">
        <w:rPr>
          <w:rFonts w:ascii="Times New Roman" w:hAnsi="Times New Roman" w:cs="Times New Roman"/>
          <w:sz w:val="28"/>
          <w:szCs w:val="28"/>
        </w:rPr>
        <w:t xml:space="preserve"> + К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1757">
        <w:rPr>
          <w:rFonts w:ascii="Times New Roman" w:hAnsi="Times New Roman" w:cs="Times New Roman"/>
          <w:sz w:val="28"/>
          <w:szCs w:val="28"/>
        </w:rPr>
        <w:t xml:space="preserve"> x Р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1757">
        <w:rPr>
          <w:rFonts w:ascii="Times New Roman" w:hAnsi="Times New Roman" w:cs="Times New Roman"/>
          <w:sz w:val="28"/>
          <w:szCs w:val="28"/>
        </w:rPr>
        <w:t xml:space="preserve"> + К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1757">
        <w:rPr>
          <w:rFonts w:ascii="Times New Roman" w:hAnsi="Times New Roman" w:cs="Times New Roman"/>
          <w:sz w:val="28"/>
          <w:szCs w:val="28"/>
        </w:rPr>
        <w:t xml:space="preserve"> x Р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1757">
        <w:rPr>
          <w:rFonts w:ascii="Times New Roman" w:hAnsi="Times New Roman" w:cs="Times New Roman"/>
          <w:sz w:val="28"/>
          <w:szCs w:val="28"/>
        </w:rPr>
        <w:t>,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где: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>, К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1757">
        <w:rPr>
          <w:rFonts w:ascii="Times New Roman" w:hAnsi="Times New Roman" w:cs="Times New Roman"/>
          <w:sz w:val="28"/>
          <w:szCs w:val="28"/>
        </w:rPr>
        <w:t>, К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1757">
        <w:rPr>
          <w:rFonts w:ascii="Times New Roman" w:hAnsi="Times New Roman" w:cs="Times New Roman"/>
          <w:sz w:val="28"/>
          <w:szCs w:val="28"/>
        </w:rPr>
        <w:t xml:space="preserve"> - количество планируемых к благоустройству дворовых территорий, детских игровых площадок и территорий для выгула животных соответственно;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>, Р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1757">
        <w:rPr>
          <w:rFonts w:ascii="Times New Roman" w:hAnsi="Times New Roman" w:cs="Times New Roman"/>
          <w:sz w:val="28"/>
          <w:szCs w:val="28"/>
        </w:rPr>
        <w:t>, Р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1757">
        <w:rPr>
          <w:rFonts w:ascii="Times New Roman" w:hAnsi="Times New Roman" w:cs="Times New Roman"/>
          <w:sz w:val="28"/>
          <w:szCs w:val="28"/>
        </w:rPr>
        <w:t xml:space="preserve"> - средняя стоимость работ по благоустройству дворовых территорий, детских игровых площадок и обустройству территорий для выгула животных соответственно.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Средняя стоимость работ определяется исходя из средней стоимости работ, выполненных в 2021 году, с учетом индекса роста цен.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Количество планируемых к благоустройству территорий определяется на основании заявок муниципальных образований области (необходимой потребности) и утверждается рабочей группой по подготовке и реализации проекта благоустройства территорий муниципальных образований Ярославской области в 2022 году.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6. В случае если сметная стоимость проекта превышает сумму иных межбюджетных трансфертов из областного бюджета, разница компенсируется за счет средств бюджета муниципального образования области.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7. Распределение иных межбюджетных трансфертов утверждается законом Ярославской области об областном бюджете на очередной финансовый год и на плановый период.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8. Иные межбюджетные трансферты предоставляются на основании </w:t>
      </w:r>
      <w:hyperlink r:id="rId7" w:history="1">
        <w:r w:rsidRPr="000A1757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A1757">
        <w:rPr>
          <w:rFonts w:ascii="Times New Roman" w:hAnsi="Times New Roman" w:cs="Times New Roman"/>
          <w:sz w:val="28"/>
          <w:szCs w:val="28"/>
        </w:rPr>
        <w:t>, заключенного по форме, утвержденной приказом департамента финансов Ярославской области от 19.10.2021 N 45н "Об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области".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срок, установленный Бюджетным </w:t>
      </w:r>
      <w:hyperlink r:id="rId8" w:history="1">
        <w:r w:rsidRPr="000A17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A1757">
        <w:rPr>
          <w:rFonts w:ascii="Times New Roman" w:hAnsi="Times New Roman" w:cs="Times New Roman"/>
          <w:sz w:val="28"/>
          <w:szCs w:val="28"/>
        </w:rPr>
        <w:t>9. Результатом предоставления иных межбюджетных трансфертов является количество благоустроенных дворовых территорий, установленных детских игровых площадок и обустроенных территорий для выгула животных.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Плановые значения результата предоставления иных межбюджетных трансфертов устанавливаются соглашением.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10. Предоставление иных межбюджетных трансфертов осуществляется в следующем порядке (с возможностью поэтапной оплаты работ, предусмотренной условиями контракта):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10.1. Перечисление иных межбюджетных трансфертов получателю из областного бюджета осуществляется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обязательств, кассового плана областного бюджета, утвержденного на соответствующий квартал.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0A1757">
        <w:rPr>
          <w:rFonts w:ascii="Times New Roman" w:hAnsi="Times New Roman" w:cs="Times New Roman"/>
          <w:sz w:val="28"/>
          <w:szCs w:val="28"/>
        </w:rPr>
        <w:t>10.2. Перечисление иных межбюджетных трансфертов получателям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Получатель представляет в департамент на бумажном носителе </w:t>
      </w:r>
      <w:hyperlink r:id="rId9" w:history="1">
        <w:r w:rsidRPr="000A175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на перечисление иных межбюджетных трансфертов по форме согласно приложению 1 к Методике и правилам, подписанную лицом, имеющим право действовать от имени руководителя органа местного самоуправления, с приложением копий следующих документов, являющихся основанием для перечисления средств: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контракты (договоры) на выполнение работ, оказание услуг, приобретение товаров, в том числе сметная документация с положительным заключением государственной экспертизы о достоверности сметной стоимости работ (в отношении мероприятий, выполненных в рамках муниципальной программы);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утвержденная муниципальная программа;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- справки о стоимости выполненных работ и затрат по </w:t>
      </w:r>
      <w:hyperlink r:id="rId10" w:history="1">
        <w:r w:rsidRPr="000A1757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акты о приемке выполненных работ по </w:t>
      </w:r>
      <w:hyperlink r:id="rId11" w:history="1">
        <w:r w:rsidRPr="000A1757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0A1757">
        <w:rPr>
          <w:rFonts w:ascii="Times New Roman" w:hAnsi="Times New Roman" w:cs="Times New Roman"/>
          <w:sz w:val="28"/>
          <w:szCs w:val="28"/>
        </w:rPr>
        <w:t>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товарная накладная, счет на оплату/счет-фактура;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lastRenderedPageBreak/>
        <w:t>- гарантийные паспорта.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0A1757">
        <w:rPr>
          <w:rFonts w:ascii="Times New Roman" w:hAnsi="Times New Roman" w:cs="Times New Roman"/>
          <w:sz w:val="28"/>
          <w:szCs w:val="28"/>
        </w:rPr>
        <w:t>11. Муниципальные образования области представляют в департамент следующие отчеты: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0A175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по форме согласно приложению 2 к Методике и правилам - не позднее 10-го числа месяца, следующего за отчетным кварталом;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отчеты по формам, установленным соглашением: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отчет о расходах, в целях софинансирования которых предоставляются иные межбюджетные трансферты, - не позднее 10-го числа месяца, следующего за отчетным кварталом;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иных межбюджетных трансфертов и обязательствах, принятых в целях их достижения, - не позднее 20 января, следующего за годом, в котором были получены иные межбюджетные трансферты.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12. Департамент представляет в департамент финансов Ярославской области следующие отчеты: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- сводный </w:t>
      </w:r>
      <w:hyperlink r:id="rId13" w:history="1">
        <w:r w:rsidRPr="000A175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в разрезе муниципальных образований области - не позднее 15-го числа месяца, следующего за кварталом, в котором были получены иные межбюджетные трансферты, по форме согласно приложению 2 к Методике и правилам;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сводный отчет о расходах, в целях софинансирования которых предоставляются иные межбюджетные трансферты, - не позднее 15-го числа месяца, следующего за кварталом, в котором были получены иные межбюджетные трансферты;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- сводный отчет о достижении значений результатов предоставления иных межбюджетных трансфертов и обязательствах, принятых в целях их достижения, - не позднее 25 января, следующего за годом, в котором были получены иные межбюджетные трансферты.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A1757">
        <w:rPr>
          <w:rFonts w:ascii="Times New Roman" w:hAnsi="Times New Roman" w:cs="Times New Roman"/>
          <w:sz w:val="28"/>
          <w:szCs w:val="28"/>
        </w:rPr>
        <w:t>В случае уменьшения суммы предоставляемых получателю иных межбюджетных трансфертов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иных межбюджетных трансфертов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0A1757">
        <w:rPr>
          <w:rFonts w:ascii="Times New Roman" w:hAnsi="Times New Roman" w:cs="Times New Roman"/>
          <w:sz w:val="28"/>
          <w:szCs w:val="28"/>
        </w:rPr>
        <w:t>14. Оценка результативности использования иных межбюджетных трансфертов получателем осуществляется ежегодно путем установления степени достижения плановых значений результатов.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(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Rfi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Rpi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,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Rfi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фактическое значение соответствующего результата;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Rpi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плановое значение соответствующего результата.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При значении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более 0,95 результативность использования иных межбюджетных трансфертов признается высокой, при значении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от 0,5 до 0,95 включительно - средней, при значении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менее 0,5 - низкой.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Эффективность использования иных межбюджетных трансфертов (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1757">
        <w:rPr>
          <w:rFonts w:ascii="Times New Roman" w:hAnsi="Times New Roman" w:cs="Times New Roman"/>
          <w:sz w:val="28"/>
          <w:szCs w:val="28"/>
          <w:lang w:val="en-US"/>
        </w:rPr>
        <w:t>Si = (</w:t>
      </w:r>
      <w:proofErr w:type="spellStart"/>
      <w:proofErr w:type="gramStart"/>
      <w:r w:rsidRPr="000A1757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 w:rsidRPr="000A1757">
        <w:rPr>
          <w:rFonts w:ascii="Times New Roman" w:hAnsi="Times New Roman" w:cs="Times New Roman"/>
          <w:sz w:val="28"/>
          <w:szCs w:val="28"/>
          <w:lang w:val="en-US"/>
        </w:rPr>
        <w:t xml:space="preserve"> x Pi / Fi),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757">
        <w:rPr>
          <w:rFonts w:ascii="Times New Roman" w:hAnsi="Times New Roman" w:cs="Times New Roman"/>
          <w:sz w:val="28"/>
          <w:szCs w:val="28"/>
        </w:rPr>
        <w:t>где</w:t>
      </w:r>
      <w:r w:rsidRPr="000A17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ассигнований, утвержденный в областном бюджете на финансирование мероприятия;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фактический объем финансирования расходов на реализацию мероприятия.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более 0,95, эффективность использования иных межбюджетных трансфертов признается высокой, при значении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от 0,85 до 0,95 - средней, при значении показателя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менее 0,85 - низкой.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A1757">
        <w:rPr>
          <w:rFonts w:ascii="Times New Roman" w:hAnsi="Times New Roman" w:cs="Times New Roman"/>
          <w:sz w:val="28"/>
          <w:szCs w:val="28"/>
        </w:rPr>
        <w:t xml:space="preserve">В случае если по состоянию на 01 января года, следующего за годом предоставления иных межбюджетных трансфертов, в рамках заключенного соглашения иные межбюджетные трансферты не перечислены муниципальному образованию области (частично или в полном объеме), при этом документы, указанные в </w:t>
      </w:r>
      <w:hyperlink w:anchor="P47" w:history="1">
        <w:r w:rsidRPr="000A1757">
          <w:rPr>
            <w:rFonts w:ascii="Times New Roman" w:hAnsi="Times New Roman" w:cs="Times New Roman"/>
            <w:sz w:val="28"/>
            <w:szCs w:val="28"/>
          </w:rPr>
          <w:t>подпункте 10.2 пункта 10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Методики и правил, главному распорядителю средств областного бюджета представлены в отчетном году,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неперечисленный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объем средств, потребность в котором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сохраняется, подлежит перечислению в очередном году </w:t>
      </w:r>
      <w:proofErr w:type="gramStart"/>
      <w:r w:rsidRPr="000A175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же цели без представления документов, указанных в </w:t>
      </w:r>
      <w:hyperlink w:anchor="P47" w:history="1">
        <w:r w:rsidRPr="000A1757">
          <w:rPr>
            <w:rFonts w:ascii="Times New Roman" w:hAnsi="Times New Roman" w:cs="Times New Roman"/>
            <w:sz w:val="28"/>
            <w:szCs w:val="28"/>
          </w:rPr>
          <w:t>подпункте 10.2 пункта 10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Методики и правил.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757">
        <w:rPr>
          <w:rFonts w:ascii="Times New Roman" w:hAnsi="Times New Roman" w:cs="Times New Roman"/>
          <w:sz w:val="28"/>
          <w:szCs w:val="28"/>
        </w:rPr>
        <w:t xml:space="preserve">Порядок возврата из местных бюджетов остатков иных межбюджетных трансфертов, не использованных по состоянию на 01 января очередного финансового года, потребность в которых сохраняется (не сохраняется), включая порядок принятия департаментом решения о наличии (об отсутствии) потребности в данных остатках, определен </w:t>
      </w:r>
      <w:hyperlink r:id="rId14" w:history="1">
        <w:r w:rsidRPr="000A17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A1757">
        <w:rPr>
          <w:rFonts w:ascii="Times New Roman" w:hAnsi="Times New Roman" w:cs="Times New Roman"/>
          <w:sz w:val="28"/>
          <w:szCs w:val="28"/>
        </w:rPr>
        <w:t xml:space="preserve"> Правительства области от 03.02.2017 N 75-п "Об утверждении Порядка возврата межбюджетных трансфертов и принятия главными администраторами средств областного бюджета решений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о наличии (об отсутствии) потребности в межбюджетных трансфертах".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757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области по состоянию на 31 декабря года предоставления иных межбюджетных трансфертов допущены нарушения обязательств по достижению значений результатов предоставления иных межбюджетных трансфертов, установленных соглашением, и в срок до первой даты представления отчетности о </w:t>
      </w:r>
      <w:r w:rsidRPr="000A1757">
        <w:rPr>
          <w:rFonts w:ascii="Times New Roman" w:hAnsi="Times New Roman" w:cs="Times New Roman"/>
          <w:sz w:val="28"/>
          <w:szCs w:val="28"/>
        </w:rPr>
        <w:lastRenderedPageBreak/>
        <w:t>достижении значений результатов предоставления иных межбюджетных трансфертов в году, следующем за годом предоставления иных межбюджетных трансфертов, указанные нарушения не устранены, муниципальное образование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области в срок до 01 апреля года, следующего за годом предоставления иных межбюджетных трансфертов, должно вернуть в доход областного бюджета средства в объеме (</w:t>
      </w:r>
      <w:proofErr w:type="spellStart"/>
      <w:proofErr w:type="gramStart"/>
      <w:r w:rsidRPr="000A175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), определяемом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175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V</w:t>
      </w:r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где: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175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A1757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размер иных межбюджетных трансфертов, предоставленных местному бюджету в отчетном финансовом году, без учета размера остатка иных межбюджетных трансфертов,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k - коэффициент возврата иных межбюджетных трансфертов;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m - количество результатов предоставления иных межбюджетных трансфертов, по которым индекс, отражающий уровень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иных межбюджетных трансфертов, имеет положительное значение (больше нуля);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иных межбюджетных трансфертов;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иных межбюджетных трансфертов.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Коэффициент возврата иных межбюджетных трансфертов (k) рассчитывается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817970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25" style="width:75.75pt;height:21.75pt" coordsize="" o:spt="100" adj="0,,0" path="" filled="f" stroked="f">
            <v:stroke joinstyle="miter"/>
            <v:imagedata r:id="rId15" o:title="base_23638_133285_32776"/>
            <v:formulas/>
            <v:path o:connecttype="segments"/>
          </v:shape>
        </w:pic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иных межбюджетных трансфертов.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иных межбюджетных трансфертов (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>,</w:t>
      </w: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A8" w:rsidRPr="000A1757" w:rsidRDefault="005E3AA8" w:rsidP="00596F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где: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Pr="000A1757">
        <w:rPr>
          <w:rFonts w:ascii="Times New Roman" w:hAnsi="Times New Roman" w:cs="Times New Roman"/>
          <w:sz w:val="28"/>
          <w:szCs w:val="28"/>
        </w:rPr>
        <w:lastRenderedPageBreak/>
        <w:t>иных межбюджетных трансфертов на отчетную дату;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0A17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17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иных межбюджетных трансфертов, установленное соглашением.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16. Ответственность за нецелевое использование иных межбюджетных трансфертов, а также за недостоверность представляемых сведений возлагается на получателя.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>В случае нецелевого использования иных межбюджетных трансфертов к получателю применяются бюджетные меры принуждения, предусмотренные законодательством Российской Федерации.</w:t>
      </w:r>
    </w:p>
    <w:p w:rsidR="005E3AA8" w:rsidRPr="000A1757" w:rsidRDefault="005E3AA8" w:rsidP="00596F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57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0A17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757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иных межбюджетных трансфертов осуществляют департамент и органы государственного финансового контроля в соответствии с действующим законодательством.</w:t>
      </w:r>
    </w:p>
    <w:p w:rsidR="009F149F" w:rsidRPr="000A1757" w:rsidRDefault="009F149F" w:rsidP="00596FE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F149F" w:rsidRPr="000A1757" w:rsidSect="0081797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70" w:rsidRDefault="00817970" w:rsidP="00817970">
      <w:pPr>
        <w:spacing w:after="0" w:line="240" w:lineRule="auto"/>
      </w:pPr>
      <w:r>
        <w:separator/>
      </w:r>
    </w:p>
  </w:endnote>
  <w:endnote w:type="continuationSeparator" w:id="0">
    <w:p w:rsidR="00817970" w:rsidRDefault="00817970" w:rsidP="0081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70" w:rsidRDefault="00817970" w:rsidP="00817970">
      <w:pPr>
        <w:spacing w:after="0" w:line="240" w:lineRule="auto"/>
      </w:pPr>
      <w:r>
        <w:separator/>
      </w:r>
    </w:p>
  </w:footnote>
  <w:footnote w:type="continuationSeparator" w:id="0">
    <w:p w:rsidR="00817970" w:rsidRDefault="00817970" w:rsidP="0081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1044"/>
      <w:docPartObj>
        <w:docPartGallery w:val="Page Numbers (Top of Page)"/>
        <w:docPartUnique/>
      </w:docPartObj>
    </w:sdtPr>
    <w:sdtContent>
      <w:p w:rsidR="00817970" w:rsidRDefault="00817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17970" w:rsidRDefault="00817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A8"/>
    <w:rsid w:val="00012E4E"/>
    <w:rsid w:val="000A1757"/>
    <w:rsid w:val="001154F8"/>
    <w:rsid w:val="0031583B"/>
    <w:rsid w:val="003633B6"/>
    <w:rsid w:val="004E4AE4"/>
    <w:rsid w:val="00596FE9"/>
    <w:rsid w:val="005E3AA8"/>
    <w:rsid w:val="006303BB"/>
    <w:rsid w:val="00817970"/>
    <w:rsid w:val="0085031C"/>
    <w:rsid w:val="008C7318"/>
    <w:rsid w:val="0092145E"/>
    <w:rsid w:val="009F149F"/>
    <w:rsid w:val="00D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970"/>
  </w:style>
  <w:style w:type="paragraph" w:styleId="a5">
    <w:name w:val="footer"/>
    <w:basedOn w:val="a"/>
    <w:link w:val="a6"/>
    <w:uiPriority w:val="99"/>
    <w:unhideWhenUsed/>
    <w:rsid w:val="0081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970"/>
  </w:style>
  <w:style w:type="paragraph" w:styleId="a5">
    <w:name w:val="footer"/>
    <w:basedOn w:val="a"/>
    <w:link w:val="a6"/>
    <w:uiPriority w:val="99"/>
    <w:unhideWhenUsed/>
    <w:rsid w:val="0081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AA4E7973F324B921DA3BC8CF54EEA19FBA9C862E6F8BD93C535447D30FFE69152843D19B29CCD628DC0CA98qC7FH" TargetMode="External"/><Relationship Id="rId13" Type="http://schemas.openxmlformats.org/officeDocument/2006/relationships/hyperlink" Target="consultantplus://offline/ref=9F8AA4E7973F324B921DBDB19A9910EF1BF1F0CD64EDF0E9C79433132260F9B3C312DA6458F58FCC6590C4CD9EC650037328BD957E5D87FA416927AAq17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4E7973F324B921DBDB19A9910EF1BF1F0CD64ECFBE8CF9133132260F9B3C312DA6458F58FCC6493C2CB98C650037328BD957E5D87FA416927AAq178H" TargetMode="External"/><Relationship Id="rId12" Type="http://schemas.openxmlformats.org/officeDocument/2006/relationships/hyperlink" Target="consultantplus://offline/ref=9F8AA4E7973F324B921DBDB19A9910EF1BF1F0CD64EDF0E9C79433132260F9B3C312DA6458F58FCC6590C4CD9EC650037328BD957E5D87FA416927AAq17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8AA4E7973F324B921DA3BC8CF54EEA1FFCADC066E5A5B79B9C39467A3FA0F1841BD0301BB084C56FC7938ECFC00651297DB6897F4385qF7E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9F8AA4E7973F324B921DA3BC8CF54EEA1FFCADC066E5A5B79B9C39467A3FA0F1841BD0301BB387C96FC7938ECFC00651297DB6897F4385qF7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AA4E7973F324B921DBDB19A9910EF1BF1F0CD64EDF0E9C79433132260F9B3C312DA6458F58FCC6590C4CC9BC650037328BD957E5D87FA416927AAq178H" TargetMode="External"/><Relationship Id="rId14" Type="http://schemas.openxmlformats.org/officeDocument/2006/relationships/hyperlink" Target="consultantplus://offline/ref=9F8AA4E7973F324B921DBDB19A9910EF1BF1F0CD64EDF2EDCF9033132260F9B3C312DA644AF5D7C06690DCCA9CD3065235q77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Любовь Геннадьевна</dc:creator>
  <cp:keywords/>
  <dc:description/>
  <cp:lastModifiedBy>Леонова Анна Владимировна</cp:lastModifiedBy>
  <cp:revision>3</cp:revision>
  <cp:lastPrinted>2022-06-24T11:52:00Z</cp:lastPrinted>
  <dcterms:created xsi:type="dcterms:W3CDTF">2022-06-23T07:59:00Z</dcterms:created>
  <dcterms:modified xsi:type="dcterms:W3CDTF">2022-06-24T11:53:00Z</dcterms:modified>
</cp:coreProperties>
</file>