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EE7" w:rsidRPr="00C04E1C" w:rsidRDefault="009F6EE7" w:rsidP="00430993">
      <w:pPr>
        <w:tabs>
          <w:tab w:val="left" w:pos="0"/>
        </w:tabs>
        <w:ind w:left="6237" w:firstLine="0"/>
        <w:contextualSpacing/>
        <w:rPr>
          <w:szCs w:val="28"/>
          <w:lang w:eastAsia="ru-RU"/>
        </w:rPr>
      </w:pPr>
      <w:bookmarkStart w:id="0" w:name="_GoBack"/>
      <w:bookmarkEnd w:id="0"/>
      <w:r w:rsidRPr="00C04E1C">
        <w:rPr>
          <w:szCs w:val="28"/>
          <w:lang w:eastAsia="ru-RU"/>
        </w:rPr>
        <w:t>П</w:t>
      </w:r>
      <w:r w:rsidR="00AE2E41">
        <w:rPr>
          <w:szCs w:val="28"/>
          <w:lang w:eastAsia="ru-RU"/>
        </w:rPr>
        <w:t>РОЕКТ</w:t>
      </w:r>
    </w:p>
    <w:p w:rsidR="009F6EE7" w:rsidRPr="00C04E1C" w:rsidRDefault="009F6EE7" w:rsidP="00430993">
      <w:pPr>
        <w:contextualSpacing/>
        <w:jc w:val="both"/>
        <w:rPr>
          <w:szCs w:val="28"/>
        </w:rPr>
      </w:pPr>
    </w:p>
    <w:p w:rsidR="009F6EE7" w:rsidRPr="00C04E1C" w:rsidRDefault="00430993" w:rsidP="00430993">
      <w:pPr>
        <w:autoSpaceDE w:val="0"/>
        <w:autoSpaceDN w:val="0"/>
        <w:adjustRightInd w:val="0"/>
        <w:ind w:firstLine="0"/>
        <w:contextualSpacing/>
        <w:jc w:val="center"/>
        <w:rPr>
          <w:rFonts w:cs="Times New Roman"/>
          <w:b/>
          <w:szCs w:val="28"/>
          <w:lang w:eastAsia="ru-RU"/>
        </w:rPr>
      </w:pPr>
      <w:r w:rsidRPr="00C04E1C">
        <w:rPr>
          <w:rFonts w:cs="Times New Roman"/>
          <w:b/>
          <w:szCs w:val="28"/>
          <w:lang w:eastAsia="ru-RU"/>
        </w:rPr>
        <w:t>ПОРЯДОК</w:t>
      </w:r>
    </w:p>
    <w:p w:rsidR="009F6EE7" w:rsidRPr="00C04E1C" w:rsidRDefault="00430993" w:rsidP="00430993">
      <w:pPr>
        <w:autoSpaceDE w:val="0"/>
        <w:autoSpaceDN w:val="0"/>
        <w:adjustRightInd w:val="0"/>
        <w:ind w:firstLine="0"/>
        <w:contextualSpacing/>
        <w:jc w:val="center"/>
        <w:rPr>
          <w:rFonts w:cs="Times New Roman"/>
          <w:b/>
          <w:iCs/>
          <w:szCs w:val="28"/>
          <w:lang w:eastAsia="ru-RU"/>
        </w:rPr>
      </w:pPr>
      <w:r w:rsidRPr="00C04E1C">
        <w:rPr>
          <w:rFonts w:cs="Times New Roman"/>
          <w:b/>
          <w:szCs w:val="28"/>
          <w:lang w:eastAsia="ru-RU"/>
        </w:rPr>
        <w:t>ПРЕДОСТАВЛЕНИЯ И РАСПРЕДЕЛЕНИЯ СУБСИДИИ НА РЕАЛИЗАЦИЮ МЕРОПРИЯТИЙ ПО СТРОИТЕЛЬСТВУ И РЕКОНСТРУКЦИИ ОБЪЕКТОВ ТЕПЛОСНАБЖЕНИЯ</w:t>
      </w:r>
    </w:p>
    <w:p w:rsidR="009F6EE7" w:rsidRPr="00C04E1C" w:rsidRDefault="009F6EE7" w:rsidP="00430993">
      <w:pPr>
        <w:autoSpaceDE w:val="0"/>
        <w:autoSpaceDN w:val="0"/>
        <w:adjustRightInd w:val="0"/>
        <w:ind w:firstLine="0"/>
        <w:contextualSpacing/>
        <w:jc w:val="center"/>
        <w:rPr>
          <w:rFonts w:cs="Times New Roman"/>
          <w:iCs/>
          <w:szCs w:val="28"/>
          <w:lang w:eastAsia="ru-RU"/>
        </w:rPr>
      </w:pP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1. Настоящий Порядок определяет механизм, условия предоставления и распределения субсидии </w:t>
      </w:r>
      <w:r w:rsidRPr="00C04E1C">
        <w:rPr>
          <w:rFonts w:cs="Times New Roman"/>
          <w:iCs/>
          <w:szCs w:val="28"/>
          <w:lang w:eastAsia="ru-RU"/>
        </w:rPr>
        <w:t>на реализацию мероприятий по строительству и реконструкции объектов теплоснабжения</w:t>
      </w:r>
      <w:r w:rsidRPr="00C04E1C">
        <w:rPr>
          <w:rFonts w:cs="Times New Roman"/>
          <w:szCs w:val="28"/>
          <w:lang w:eastAsia="ru-RU"/>
        </w:rPr>
        <w:t xml:space="preserve"> (далее – субсидия).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2. Субсидия предоставляется муниципальным районам (городским округам,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области полномочий по организации теплоснабжения. </w:t>
      </w:r>
    </w:p>
    <w:p w:rsidR="009F6EE7" w:rsidRPr="00C04E1C" w:rsidRDefault="009F6EE7" w:rsidP="00430993">
      <w:pPr>
        <w:autoSpaceDE w:val="0"/>
        <w:autoSpaceDN w:val="0"/>
        <w:adjustRightInd w:val="0"/>
        <w:contextualSpacing/>
        <w:jc w:val="both"/>
        <w:rPr>
          <w:szCs w:val="28"/>
          <w:lang w:eastAsia="ru-RU"/>
        </w:rPr>
      </w:pPr>
      <w:r w:rsidRPr="00C04E1C">
        <w:rPr>
          <w:rFonts w:cs="Times New Roman"/>
          <w:szCs w:val="28"/>
          <w:lang w:eastAsia="ru-RU"/>
        </w:rPr>
        <w:t xml:space="preserve">3. </w:t>
      </w:r>
      <w:r w:rsidRPr="00C04E1C">
        <w:rPr>
          <w:szCs w:val="28"/>
          <w:lang w:eastAsia="ru-RU"/>
        </w:rPr>
        <w:t>Субсидия направляется на строительство и реконструкцию объектов теплоснабжения в целях повышения качества и надежности предоставления коммунальных услуг населению. Допускается использование субсидии на оплату строительно-монтажных работ, закупку оборудования, пусконаладочные работы «вхолостую», а также на изготовление проектной документации объектов коммунальной инфраструктуры, включенных программу развития газоснабжения и газификации Ярославской области на 2021 – 2025 годы.</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4. Главным распорядителем бюджетных средств в отношении субсидии, ответственным за осуществление государственной политики и нормативно-правовое регулирование деятельности в сфере коммунального комплекса на территории Ярославской области, является департамент жилищно-коммунального хозяйства, энергетики и регулирования тарифов Ярославской области (далее – департамент).</w:t>
      </w:r>
    </w:p>
    <w:p w:rsidR="009F6EE7" w:rsidRPr="00C04E1C" w:rsidRDefault="009F6EE7" w:rsidP="00430993">
      <w:pPr>
        <w:autoSpaceDE w:val="0"/>
        <w:autoSpaceDN w:val="0"/>
        <w:adjustRightInd w:val="0"/>
        <w:contextualSpacing/>
        <w:jc w:val="both"/>
        <w:outlineLvl w:val="1"/>
        <w:rPr>
          <w:rFonts w:cs="Times New Roman"/>
          <w:spacing w:val="-2"/>
          <w:szCs w:val="28"/>
          <w:lang w:eastAsia="ru-RU"/>
        </w:rPr>
      </w:pPr>
      <w:r w:rsidRPr="00C04E1C">
        <w:rPr>
          <w:rFonts w:cs="Times New Roman"/>
          <w:szCs w:val="28"/>
          <w:lang w:eastAsia="ru-RU"/>
        </w:rPr>
        <w:t xml:space="preserve">5. </w:t>
      </w:r>
      <w:r w:rsidRPr="00C04E1C">
        <w:rPr>
          <w:rFonts w:cs="Times New Roman"/>
          <w:spacing w:val="-2"/>
          <w:szCs w:val="28"/>
          <w:lang w:eastAsia="ru-RU"/>
        </w:rPr>
        <w:t>Отбор мероприятий муниципальных образований области осуществляется в следующем порядке:</w:t>
      </w:r>
    </w:p>
    <w:p w:rsidR="009F6EE7" w:rsidRPr="00C04E1C" w:rsidRDefault="009F6EE7" w:rsidP="00430993">
      <w:pPr>
        <w:autoSpaceDE w:val="0"/>
        <w:autoSpaceDN w:val="0"/>
        <w:adjustRightInd w:val="0"/>
        <w:contextualSpacing/>
        <w:jc w:val="both"/>
        <w:outlineLvl w:val="1"/>
        <w:rPr>
          <w:rFonts w:cs="Times New Roman"/>
          <w:spacing w:val="-2"/>
          <w:szCs w:val="28"/>
          <w:lang w:eastAsia="ru-RU"/>
        </w:rPr>
      </w:pPr>
      <w:r w:rsidRPr="00C04E1C">
        <w:rPr>
          <w:rFonts w:cs="Times New Roman"/>
          <w:spacing w:val="-2"/>
          <w:szCs w:val="28"/>
          <w:lang w:eastAsia="ru-RU"/>
        </w:rPr>
        <w:t xml:space="preserve">5.1. При стоимости проведения работ тридцать миллионов рублей и более </w:t>
      </w:r>
      <w:r w:rsidRPr="00C04E1C">
        <w:rPr>
          <w:rFonts w:cs="Times New Roman"/>
          <w:szCs w:val="28"/>
          <w:lang w:eastAsia="ru-RU"/>
        </w:rPr>
        <w:t>–</w:t>
      </w:r>
      <w:r w:rsidRPr="00C04E1C">
        <w:rPr>
          <w:rFonts w:cs="Times New Roman"/>
          <w:spacing w:val="-2"/>
          <w:szCs w:val="28"/>
          <w:lang w:eastAsia="ru-RU"/>
        </w:rPr>
        <w:t xml:space="preserve"> на основании постановления Правительства области от 10.12.2008 №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p>
    <w:p w:rsidR="009F6EE7" w:rsidRPr="00C04E1C" w:rsidRDefault="009F6EE7" w:rsidP="00430993">
      <w:pPr>
        <w:autoSpaceDE w:val="0"/>
        <w:autoSpaceDN w:val="0"/>
        <w:adjustRightInd w:val="0"/>
        <w:contextualSpacing/>
        <w:jc w:val="both"/>
        <w:outlineLvl w:val="1"/>
        <w:rPr>
          <w:rFonts w:cs="Times New Roman"/>
          <w:sz w:val="18"/>
          <w:szCs w:val="18"/>
          <w:lang w:eastAsia="ru-RU"/>
        </w:rPr>
      </w:pPr>
      <w:r w:rsidRPr="00C04E1C">
        <w:rPr>
          <w:rFonts w:cs="Times New Roman"/>
          <w:spacing w:val="-2"/>
          <w:szCs w:val="28"/>
          <w:lang w:eastAsia="ru-RU"/>
        </w:rPr>
        <w:t>5.2. При стоимости мероприятий менее тридцати миллионов рублей – на основании приказа департамента от 26.06.2015 № 46 «Об утверждении формы обоснования» с использованием следующих критериев обоснованности осуществления капитальных вложений:</w:t>
      </w:r>
      <w:r w:rsidRPr="00C04E1C">
        <w:rPr>
          <w:rFonts w:cs="Times New Roman"/>
          <w:sz w:val="18"/>
          <w:szCs w:val="18"/>
          <w:lang w:eastAsia="ru-RU"/>
        </w:rPr>
        <w:t xml:space="preserve"> </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наличие четко сформулированной цели инвестиционного проекта с определением количественных показателей результатов его реализации;</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lastRenderedPageBreak/>
        <w:t>- комплексный подход к решению конкретной проблемы в рамках реализации инвестиционного проекта во взаимосвязи с мероприятиями, реализуемыми в рамках государственных и региональных программ;</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обоснование планируемой мощности строящегося объекта капитального строительства, создаваемой в результате реализации инвестиционного проекта;</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наличие проектной  документации по инвестиционному проекту;</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наличие документации, обосновывающей стоимость инвестиционного проекта;</w:t>
      </w:r>
    </w:p>
    <w:p w:rsidR="009F6EE7" w:rsidRPr="00C04E1C" w:rsidRDefault="009F6EE7" w:rsidP="00430993">
      <w:pPr>
        <w:autoSpaceDE w:val="0"/>
        <w:autoSpaceDN w:val="0"/>
        <w:adjustRightInd w:val="0"/>
        <w:ind w:firstLine="708"/>
        <w:contextualSpacing/>
        <w:jc w:val="both"/>
        <w:outlineLvl w:val="1"/>
        <w:rPr>
          <w:rFonts w:cs="Times New Roman"/>
          <w:szCs w:val="28"/>
          <w:lang w:eastAsia="ru-RU"/>
        </w:rPr>
      </w:pPr>
      <w:r w:rsidRPr="00C04E1C">
        <w:rPr>
          <w:rFonts w:cs="Times New Roman"/>
          <w:szCs w:val="28"/>
          <w:lang w:eastAsia="ru-RU"/>
        </w:rPr>
        <w:t>- наличие правоустанавливающих документов на объект капитального строительства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rsidR="009F6EE7" w:rsidRPr="00C04E1C" w:rsidRDefault="009F6EE7" w:rsidP="00430993">
      <w:pPr>
        <w:autoSpaceDE w:val="0"/>
        <w:autoSpaceDN w:val="0"/>
        <w:adjustRightInd w:val="0"/>
        <w:contextualSpacing/>
        <w:jc w:val="both"/>
        <w:outlineLvl w:val="1"/>
        <w:rPr>
          <w:rFonts w:cs="Times New Roman"/>
          <w:szCs w:val="28"/>
          <w:lang w:eastAsia="ru-RU"/>
        </w:rPr>
      </w:pPr>
      <w:r w:rsidRPr="00C04E1C">
        <w:rPr>
          <w:rFonts w:cs="Times New Roman"/>
          <w:szCs w:val="28"/>
          <w:lang w:eastAsia="ru-RU"/>
        </w:rPr>
        <w:t>- возможность и целесообразность размещения объекта капитального строительства, строящегося в рамках реализации инвестиционного проекта.</w:t>
      </w:r>
    </w:p>
    <w:p w:rsidR="009F6EE7" w:rsidRPr="00C04E1C" w:rsidRDefault="009F6EE7" w:rsidP="00430993">
      <w:pPr>
        <w:contextualSpacing/>
        <w:jc w:val="both"/>
        <w:rPr>
          <w:rFonts w:cs="Times New Roman"/>
          <w:szCs w:val="28"/>
          <w:lang w:eastAsia="ru-RU"/>
        </w:rPr>
      </w:pPr>
      <w:r w:rsidRPr="00C04E1C">
        <w:rPr>
          <w:rFonts w:cs="Times New Roman"/>
          <w:szCs w:val="28"/>
          <w:lang w:eastAsia="ru-RU"/>
        </w:rPr>
        <w:t xml:space="preserve">5.3. </w:t>
      </w:r>
      <w:r w:rsidRPr="00C04E1C">
        <w:rPr>
          <w:rFonts w:cs="Times New Roman"/>
          <w:szCs w:val="28"/>
        </w:rPr>
        <w:t xml:space="preserve">В качестве критерия отбора муниципальных образований области принимается возможность перевода на природный газ котельных, работающих на затратных видах топлива (мазут, дизельное топливо, электроэнергия). В приоритетном порядке включаются в </w:t>
      </w:r>
      <w:r w:rsidRPr="00C04E1C">
        <w:rPr>
          <w:rFonts w:cs="Times New Roman"/>
          <w:szCs w:val="28"/>
          <w:lang w:eastAsia="ru-RU"/>
        </w:rPr>
        <w:t xml:space="preserve">региональную программу </w:t>
      </w:r>
      <w:r w:rsidRPr="00C04E1C">
        <w:rPr>
          <w:rFonts w:cs="Times New Roman"/>
          <w:spacing w:val="-2"/>
          <w:szCs w:val="28"/>
          <w:lang w:eastAsia="ru-RU"/>
        </w:rPr>
        <w:t>«Газификация жилищно-коммунального хозяйства, промышленных и иных организаций Ярославской области»</w:t>
      </w:r>
      <w:r w:rsidRPr="00C04E1C">
        <w:rPr>
          <w:rFonts w:cs="Times New Roman"/>
          <w:szCs w:val="28"/>
          <w:lang w:eastAsia="ru-RU"/>
        </w:rPr>
        <w:t xml:space="preserve"> на 2022 – 2026 годы (далее – Программа) </w:t>
      </w:r>
      <w:r w:rsidRPr="00C04E1C">
        <w:rPr>
          <w:rFonts w:cs="Times New Roman"/>
          <w:szCs w:val="28"/>
        </w:rPr>
        <w:t xml:space="preserve">мероприятия по переводу на природный газ котельных в рамках </w:t>
      </w:r>
      <w:r w:rsidRPr="00C04E1C">
        <w:rPr>
          <w:rFonts w:cs="Times New Roman"/>
          <w:szCs w:val="28"/>
          <w:lang w:eastAsia="ru-RU"/>
        </w:rPr>
        <w:t>выполнения программы развития газоснабжения и газификации Ярославской области на 2021 – 2025 годы.</w:t>
      </w:r>
    </w:p>
    <w:p w:rsidR="009F6EE7" w:rsidRPr="00C04E1C" w:rsidRDefault="009F6EE7" w:rsidP="00430993">
      <w:pPr>
        <w:autoSpaceDE w:val="0"/>
        <w:autoSpaceDN w:val="0"/>
        <w:adjustRightInd w:val="0"/>
        <w:contextualSpacing/>
        <w:jc w:val="both"/>
        <w:outlineLvl w:val="1"/>
        <w:rPr>
          <w:rFonts w:cs="Times New Roman"/>
          <w:szCs w:val="28"/>
          <w:lang w:eastAsia="ru-RU"/>
        </w:rPr>
      </w:pPr>
      <w:r w:rsidRPr="00C04E1C">
        <w:rPr>
          <w:rFonts w:cs="Times New Roman"/>
          <w:szCs w:val="28"/>
          <w:lang w:eastAsia="ru-RU"/>
        </w:rPr>
        <w:t>6. Условиями предоставления субсидии являются:</w:t>
      </w:r>
    </w:p>
    <w:p w:rsidR="009F6EE7" w:rsidRPr="00C04E1C" w:rsidRDefault="009F6EE7" w:rsidP="00430993">
      <w:pPr>
        <w:autoSpaceDE w:val="0"/>
        <w:autoSpaceDN w:val="0"/>
        <w:adjustRightInd w:val="0"/>
        <w:contextualSpacing/>
        <w:jc w:val="both"/>
        <w:outlineLvl w:val="1"/>
        <w:rPr>
          <w:rFonts w:cs="Times New Roman"/>
          <w:szCs w:val="28"/>
          <w:lang w:eastAsia="ru-RU"/>
        </w:rPr>
      </w:pPr>
      <w:r w:rsidRPr="00C04E1C">
        <w:rPr>
          <w:rFonts w:cs="Times New Roman"/>
          <w:szCs w:val="28"/>
          <w:lang w:eastAsia="ru-RU"/>
        </w:rPr>
        <w:t xml:space="preserve">6.1. </w:t>
      </w:r>
      <w:r w:rsidRPr="00C04E1C">
        <w:rPr>
          <w:rFonts w:cs="Times New Roman"/>
          <w:spacing w:val="-2"/>
          <w:szCs w:val="28"/>
          <w:lang w:eastAsia="ru-RU"/>
        </w:rPr>
        <w:t xml:space="preserve">Соответствие заявленных объектов целям и задачам </w:t>
      </w:r>
      <w:r w:rsidRPr="00C04E1C">
        <w:rPr>
          <w:rFonts w:cs="Times New Roman"/>
          <w:szCs w:val="28"/>
          <w:lang w:eastAsia="ru-RU"/>
        </w:rPr>
        <w:t xml:space="preserve">Программы </w:t>
      </w:r>
      <w:r w:rsidRPr="00C04E1C">
        <w:rPr>
          <w:rFonts w:cs="Times New Roman"/>
          <w:spacing w:val="-2"/>
          <w:szCs w:val="28"/>
          <w:lang w:eastAsia="ru-RU"/>
        </w:rPr>
        <w:t>и требованиям, установленным постановлением Правительства области от 15.06.2010 № 416-п</w:t>
      </w:r>
      <w:r w:rsidRPr="00C04E1C">
        <w:rPr>
          <w:rFonts w:cs="Times New Roman"/>
          <w:szCs w:val="28"/>
          <w:lang w:eastAsia="ru-RU"/>
        </w:rPr>
        <w:t xml:space="preserve">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9F6EE7" w:rsidRPr="00C04E1C" w:rsidRDefault="009F6EE7" w:rsidP="00430993">
      <w:pPr>
        <w:autoSpaceDE w:val="0"/>
        <w:autoSpaceDN w:val="0"/>
        <w:adjustRightInd w:val="0"/>
        <w:contextualSpacing/>
        <w:jc w:val="both"/>
        <w:outlineLvl w:val="1"/>
        <w:rPr>
          <w:rFonts w:cs="Times New Roman"/>
          <w:szCs w:val="28"/>
          <w:lang w:eastAsia="ru-RU"/>
        </w:rPr>
      </w:pPr>
      <w:r w:rsidRPr="00C04E1C">
        <w:rPr>
          <w:rFonts w:cs="Times New Roman"/>
          <w:szCs w:val="28"/>
          <w:lang w:eastAsia="ru-RU"/>
        </w:rPr>
        <w:t>6.2. Наличие в местных бюджетах ассигнований на исполнение соответствующих расходных обязательств местного самоуправления.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6.3. Наличие у муниципальных районов (городских округов, городских поселений) области утвержденной муниципальной программы развития коммунальной инфраструктуры, включающей мероприятие, реализация которого планируется.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6.4. </w:t>
      </w:r>
      <w:r w:rsidRPr="00C04E1C">
        <w:rPr>
          <w:rFonts w:cs="Times New Roman"/>
          <w:szCs w:val="28"/>
        </w:rPr>
        <w:t xml:space="preserve">Наличие подписанного соглашения о предоставлении и расходовании субсидии (далее – соглашение), заключенного до 01 апреля </w:t>
      </w:r>
      <w:r w:rsidRPr="00C04E1C">
        <w:rPr>
          <w:rFonts w:cs="Times New Roman"/>
          <w:szCs w:val="28"/>
        </w:rPr>
        <w:lastRenderedPageBreak/>
        <w:t>текущего финансового года между департаментом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C04E1C">
        <w:rPr>
          <w:rFonts w:cs="Times New Roman"/>
          <w:szCs w:val="28"/>
          <w:lang w:eastAsia="ru-RU"/>
        </w:rPr>
        <w:t xml:space="preserve">.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6.5. Выполнение требований к показателям результатов использования субсидии, установленных соглашением.</w:t>
      </w:r>
    </w:p>
    <w:p w:rsidR="009F6EE7" w:rsidRPr="00C04E1C" w:rsidRDefault="009F6EE7" w:rsidP="00430993">
      <w:pPr>
        <w:tabs>
          <w:tab w:val="left" w:pos="1418"/>
        </w:tabs>
        <w:autoSpaceDE w:val="0"/>
        <w:autoSpaceDN w:val="0"/>
        <w:adjustRightInd w:val="0"/>
        <w:contextualSpacing/>
        <w:jc w:val="both"/>
        <w:rPr>
          <w:rFonts w:cs="Times New Roman"/>
          <w:szCs w:val="28"/>
          <w:lang w:eastAsia="ru-RU"/>
        </w:rPr>
      </w:pPr>
      <w:r w:rsidRPr="00C04E1C">
        <w:rPr>
          <w:rFonts w:cs="Times New Roman"/>
          <w:szCs w:val="28"/>
          <w:lang w:eastAsia="ru-RU"/>
        </w:rPr>
        <w:t>6.6. Соблюдение целевых направлений расходования субсидии, установленных пунктом 3 настоящего Порядка.</w:t>
      </w:r>
    </w:p>
    <w:p w:rsidR="009F6EE7" w:rsidRPr="00C04E1C" w:rsidRDefault="009F6EE7" w:rsidP="00430993">
      <w:pPr>
        <w:tabs>
          <w:tab w:val="left" w:pos="1418"/>
        </w:tabs>
        <w:autoSpaceDE w:val="0"/>
        <w:autoSpaceDN w:val="0"/>
        <w:adjustRightInd w:val="0"/>
        <w:contextualSpacing/>
        <w:jc w:val="both"/>
        <w:rPr>
          <w:rFonts w:cs="Times New Roman"/>
          <w:szCs w:val="28"/>
          <w:lang w:eastAsia="ru-RU"/>
        </w:rPr>
      </w:pPr>
      <w:r w:rsidRPr="00C04E1C">
        <w:rPr>
          <w:rFonts w:cs="Times New Roman"/>
          <w:szCs w:val="28"/>
          <w:lang w:eastAsia="ru-RU"/>
        </w:rPr>
        <w:t>6.7. Выполнение требований к срокам, порядку и формам представления отчетности об использовании субсидии, установленных соглашением.</w:t>
      </w:r>
    </w:p>
    <w:p w:rsidR="009F6EE7" w:rsidRPr="00C04E1C" w:rsidRDefault="009F6EE7" w:rsidP="00430993">
      <w:pPr>
        <w:autoSpaceDE w:val="0"/>
        <w:autoSpaceDN w:val="0"/>
        <w:adjustRightInd w:val="0"/>
        <w:contextualSpacing/>
        <w:jc w:val="both"/>
        <w:rPr>
          <w:szCs w:val="28"/>
        </w:rPr>
      </w:pPr>
      <w:r w:rsidRPr="00C04E1C">
        <w:rPr>
          <w:szCs w:val="28"/>
        </w:rPr>
        <w:t>7. Размер софинансирования расходного обязательства из областного бюджета устанавливается дифференцированно с учетом доли зависимости муниципальных образований области от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бюджета.</w:t>
      </w:r>
    </w:p>
    <w:p w:rsidR="009F6EE7" w:rsidRPr="00C04E1C" w:rsidRDefault="009F6EE7" w:rsidP="00430993">
      <w:pPr>
        <w:autoSpaceDE w:val="0"/>
        <w:autoSpaceDN w:val="0"/>
        <w:adjustRightInd w:val="0"/>
        <w:contextualSpacing/>
        <w:jc w:val="both"/>
        <w:rPr>
          <w:szCs w:val="28"/>
        </w:rPr>
      </w:pPr>
      <w:r w:rsidRPr="00C04E1C">
        <w:rPr>
          <w:szCs w:val="28"/>
        </w:rPr>
        <w:t>На 2022 </w:t>
      </w:r>
      <w:r w:rsidRPr="00C04E1C">
        <w:rPr>
          <w:rFonts w:cs="Times New Roman"/>
          <w:szCs w:val="28"/>
        </w:rPr>
        <w:t>– </w:t>
      </w:r>
      <w:r w:rsidRPr="00C04E1C">
        <w:rPr>
          <w:szCs w:val="28"/>
        </w:rPr>
        <w:t>2024 годы размер софинансирования расходного обязательства из областного бюджета устанавливается:</w:t>
      </w:r>
    </w:p>
    <w:p w:rsidR="009F6EE7" w:rsidRPr="00C04E1C" w:rsidRDefault="009F6EE7" w:rsidP="00430993">
      <w:pPr>
        <w:autoSpaceDE w:val="0"/>
        <w:autoSpaceDN w:val="0"/>
        <w:adjustRightInd w:val="0"/>
        <w:contextualSpacing/>
        <w:jc w:val="both"/>
        <w:rPr>
          <w:szCs w:val="28"/>
        </w:rPr>
      </w:pPr>
      <w:r w:rsidRPr="00C04E1C">
        <w:rPr>
          <w:szCs w:val="28"/>
        </w:rPr>
        <w:t>- не более 90 процентов –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(Даниловский муниципальный район);</w:t>
      </w:r>
    </w:p>
    <w:p w:rsidR="009F6EE7" w:rsidRPr="00C04E1C" w:rsidRDefault="009F6EE7" w:rsidP="00430993">
      <w:pPr>
        <w:autoSpaceDE w:val="0"/>
        <w:autoSpaceDN w:val="0"/>
        <w:adjustRightInd w:val="0"/>
        <w:contextualSpacing/>
        <w:jc w:val="both"/>
        <w:rPr>
          <w:szCs w:val="28"/>
        </w:rPr>
      </w:pPr>
      <w:r w:rsidRPr="00C04E1C">
        <w:rPr>
          <w:szCs w:val="28"/>
        </w:rPr>
        <w:t xml:space="preserve">Для объектов теплоснабжения, реализуемых в рамках программы развития газоснабжения и газификации Ярославской области 2021 </w:t>
      </w:r>
      <w:r w:rsidRPr="00C04E1C">
        <w:rPr>
          <w:rFonts w:cs="Times New Roman"/>
          <w:szCs w:val="28"/>
        </w:rPr>
        <w:t>–</w:t>
      </w:r>
      <w:r w:rsidRPr="00C04E1C">
        <w:rPr>
          <w:szCs w:val="28"/>
        </w:rPr>
        <w:t xml:space="preserve"> 2025 годы, </w:t>
      </w:r>
      <w:r w:rsidRPr="00C04E1C">
        <w:rPr>
          <w:szCs w:val="28"/>
          <w:lang w:eastAsia="ru-RU"/>
        </w:rPr>
        <w:t>размер софинансирования расходного обязательства из областного бюджета устанавливается не более 95 процентов</w:t>
      </w:r>
      <w:r w:rsidRPr="00C04E1C">
        <w:rPr>
          <w:szCs w:val="28"/>
        </w:rPr>
        <w:t xml:space="preserve"> (Большесельский, Борисоглебский, Брейтовский, Даниловский, Любимский, Мышкинский, Первомайский, Пошехонский, Ростовский, Рыбинский, Угличский, Ярославский муниципальные районы, городской округ г. Переславль-Залесский).</w:t>
      </w:r>
    </w:p>
    <w:p w:rsidR="009F6EE7" w:rsidRPr="00C04E1C" w:rsidRDefault="009F6EE7" w:rsidP="00430993">
      <w:pPr>
        <w:autoSpaceDE w:val="0"/>
        <w:autoSpaceDN w:val="0"/>
        <w:adjustRightInd w:val="0"/>
        <w:contextualSpacing/>
        <w:jc w:val="both"/>
        <w:rPr>
          <w:szCs w:val="28"/>
        </w:rPr>
      </w:pPr>
      <w:r w:rsidRPr="00C04E1C">
        <w:rPr>
          <w:rFonts w:cs="Times New Roman"/>
          <w:szCs w:val="28"/>
          <w:lang w:eastAsia="ru-RU"/>
        </w:rPr>
        <w:lastRenderedPageBreak/>
        <w:t>Объем субсидии приведен в приложении к настоящему Порядку.</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8. Основанием для предоставления субсидии является соглашение. Соглашение содержит:</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предмет соглашения, размер субсидии, целевое назначение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условия предоставления субсидии, в том числе размер софинансирования из средств местного бюджета, целевые значения показателей результатов использования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права и обязанности сторон, в том числе обязанность получателя по достижению установленных соглашением значений показателей результатов использования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их перечисления;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сроки и порядок представления отчетности об использовании субсидии, о выполнении условий предоставления субсидии, а также о достижении значений показателей результатов использования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порядок осуществления контроля за выполнением муниципальными образованиями области обязательств, предусмотренных соглашением;</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последствия недостижения муниципальным образованием области установленных соглашением значений показателей результатов использования субсидии и/или несоблюдения графика выполнения работ;</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основания и порядок возврата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8.1. Для заключения соглашения в департамент представляются следующие документы:</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информация о размере субсидии по форме согласно приложению 3 к типовой форме;</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копия утвержденной муниципальной программы развития коммунальной инфраструктуры,</w:t>
      </w:r>
      <w:r w:rsidRPr="00C04E1C">
        <w:rPr>
          <w:szCs w:val="28"/>
          <w:lang w:eastAsia="ru-RU"/>
        </w:rPr>
        <w:t xml:space="preserve"> либо нормативно-правового акта о внесенных изменениях в муниципальную программу, которые содержат</w:t>
      </w:r>
      <w:r w:rsidRPr="00C04E1C">
        <w:rPr>
          <w:rFonts w:cs="Times New Roman"/>
          <w:szCs w:val="28"/>
          <w:lang w:eastAsia="ru-RU"/>
        </w:rPr>
        <w:t xml:space="preserve"> перечень </w:t>
      </w:r>
      <w:r w:rsidRPr="00C04E1C">
        <w:rPr>
          <w:szCs w:val="28"/>
          <w:lang w:eastAsia="ru-RU"/>
        </w:rPr>
        <w:t>мероприятий, реализация которых планируется</w:t>
      </w:r>
      <w:r w:rsidRPr="00C04E1C">
        <w:rPr>
          <w:rFonts w:cs="Times New Roman"/>
          <w:szCs w:val="28"/>
          <w:lang w:eastAsia="ru-RU"/>
        </w:rPr>
        <w:t xml:space="preserve">;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 включающая расшифровку по перечню строек и объектов;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разрешение на строительство (при необходимости);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положительное заключение государственной экспертизы проектной документации объекта строительства;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сводный сметный расчет стоимости объекта строительства;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копия соглашения о передаче полномочий при исполнении мероприятий Программы (при наличии).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lastRenderedPageBreak/>
        <w:t xml:space="preserve">8.2. Соглашения могут заключаться на 3-летний срок при наличии бюджетных ассигнований на очередной финансовый год и на плановый период (по согласованию с департаментом финансов Ярославской области).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8.3.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в случае невозможности выполнения условий предоставления субсидии вследствие обстоятельств непреодолимой силы;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в случае изменения значений целевых показателей и индикаторов государственных программ Ярославской области;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в случае существенного (более чем на 20 процентов) сокращения размера субсидии.</w:t>
      </w:r>
    </w:p>
    <w:p w:rsidR="009F6EE7" w:rsidRPr="00C04E1C" w:rsidRDefault="009F6EE7" w:rsidP="00430993">
      <w:pPr>
        <w:autoSpaceDE w:val="0"/>
        <w:autoSpaceDN w:val="0"/>
        <w:adjustRightInd w:val="0"/>
        <w:contextualSpacing/>
        <w:jc w:val="both"/>
        <w:rPr>
          <w:szCs w:val="28"/>
          <w:lang w:eastAsia="ru-RU"/>
        </w:rPr>
      </w:pPr>
      <w:r w:rsidRPr="00C04E1C">
        <w:rPr>
          <w:rFonts w:cs="Times New Roman"/>
          <w:szCs w:val="28"/>
          <w:lang w:eastAsia="ru-RU"/>
        </w:rPr>
        <w:t xml:space="preserve">8.4. </w:t>
      </w:r>
      <w:r w:rsidRPr="00C04E1C">
        <w:rPr>
          <w:szCs w:val="28"/>
          <w:lang w:eastAsia="ru-RU"/>
        </w:rPr>
        <w:t>При наличии на момент окончания срока действия соглашения задолженности по объектам, финансирование которых осуществлялось в рамках региональной программы «Газификация и модернизации жилищно-коммунального хозяйства, промышленных и иных организаций Ярославской области» на 2017 – 2021 годы,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реализацию Программы на очередной финансовый год:</w:t>
      </w:r>
    </w:p>
    <w:p w:rsidR="009F6EE7" w:rsidRPr="00C04E1C" w:rsidRDefault="009F6EE7" w:rsidP="00430993">
      <w:pPr>
        <w:autoSpaceDE w:val="0"/>
        <w:autoSpaceDN w:val="0"/>
        <w:adjustRightInd w:val="0"/>
        <w:contextualSpacing/>
        <w:jc w:val="both"/>
        <w:rPr>
          <w:szCs w:val="28"/>
          <w:lang w:eastAsia="ru-RU"/>
        </w:rPr>
      </w:pPr>
      <w:r w:rsidRPr="00C04E1C">
        <w:rPr>
          <w:szCs w:val="28"/>
          <w:lang w:eastAsia="ru-RU"/>
        </w:rPr>
        <w:t>-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отчетном финансовом году;</w:t>
      </w:r>
    </w:p>
    <w:p w:rsidR="009F6EE7" w:rsidRPr="00C04E1C" w:rsidRDefault="009F6EE7" w:rsidP="00430993">
      <w:pPr>
        <w:autoSpaceDE w:val="0"/>
        <w:autoSpaceDN w:val="0"/>
        <w:adjustRightInd w:val="0"/>
        <w:contextualSpacing/>
        <w:jc w:val="both"/>
        <w:rPr>
          <w:szCs w:val="28"/>
          <w:lang w:eastAsia="ru-RU"/>
        </w:rPr>
      </w:pPr>
      <w:r w:rsidRPr="00C04E1C">
        <w:rPr>
          <w:szCs w:val="28"/>
          <w:lang w:eastAsia="ru-RU"/>
        </w:rPr>
        <w:t xml:space="preserve">- с обеспечением доли софинансирования расходных обязательств из местного бюджета в случае неподтверждения данной оплаты в отчетном финансовом году. В случае неподтверждения оплаты из местного бюджета в отчетном финансовом году размер доли софинансирования расходных обязательств из местного бюджета в текущем финансовом году определяется в зависимости от доли софинансирования из областного бюджета, рассчитанной на соответствующий год реализации Программы.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8.5. Соглашения заключаются в течение 10 рабочих дней после выполнения условий, указанных в подпункте 8.1 данного пункта.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8.6. Уровень начальной (максимальной) цены муниципального контракта, при котором осуществляется централизация закупок через департамент государственного заказа Ярославской области, наделенный соответствующими полномочиями при проведении конкурсных процедур на определение поставщиков (подрядчиков, исполнителей) для муниципальных заказчиков, устанавливается постановлением Правительства области </w:t>
      </w:r>
      <w:r w:rsidRPr="00C04E1C">
        <w:rPr>
          <w:rFonts w:cs="Times New Roman"/>
          <w:szCs w:val="28"/>
        </w:rPr>
        <w:t>от 27.04.2016 № 501-п</w:t>
      </w:r>
      <w:r w:rsidRPr="00C04E1C">
        <w:rPr>
          <w:rFonts w:cs="Times New Roman"/>
          <w:szCs w:val="28"/>
          <w:lang w:eastAsia="ru-RU"/>
        </w:rPr>
        <w:t xml:space="preserve"> «Об особенностях осуществления закупок, финансируемых за счет бюджета Ярославской области».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9. Перечисление субсидии осуществляется в доход бюджета муниципального района (городского округа, городского поселения) области </w:t>
      </w:r>
      <w:r w:rsidRPr="00C04E1C">
        <w:rPr>
          <w:rFonts w:cs="Times New Roman"/>
          <w:szCs w:val="28"/>
          <w:lang w:eastAsia="ru-RU"/>
        </w:rPr>
        <w:lastRenderedPageBreak/>
        <w:t>в пределах лимитов бюджетных обязательств областного бюджета, предусмотренных законом Ярославской области об областном бюджете на соответствующий финансовый год и на плановый период, при представлении в департамент:</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копии муниципального контракта (договора) с исполнителями работ на весь период строительства или приобретения оборудования, график выполнения работ;</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заявки на предоставление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справки о стоимости выполненных работ и затрат по форме № КС-3;</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копий платежных документов, подтверждающих фактическое исполнение расходных обязательств местных бюджетов на софинансирование мероприятий Программы;</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акта о приемке выполненных работ по форме № КС-2 (по требованию);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 отчетов, которые необходимо представить на дату подачи заявки на предоставление субсидии, в соответствии с формами, приведенными в приложениях 5 – 8 к типовой форме. </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Также может быть предусмотрено перечисление субсидии местному бюджету авансовым платежом в пределах установленных лимитов бюджетных обязательств на соответствующий финансовый год пропорционально доле софинансирования расходов за счет средств областного бюджета в соответствии с условиями муниципального контракта (договора), но не более 30 процентов от суммы контракта </w:t>
      </w:r>
      <w:r w:rsidRPr="00C04E1C">
        <w:rPr>
          <w:szCs w:val="28"/>
          <w:lang w:eastAsia="ru-RU"/>
        </w:rPr>
        <w:t>на строительно-монтажные работы, приобретение оборудования и до 100 процентов на проведение государственной экспертизы проектной документации.</w:t>
      </w:r>
      <w:r w:rsidRPr="00C04E1C">
        <w:rPr>
          <w:rFonts w:cs="Times New Roman"/>
          <w:szCs w:val="28"/>
          <w:lang w:eastAsia="ru-RU"/>
        </w:rPr>
        <w:t xml:space="preserve"> В этом случае в департамент представляются: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заявка на предоставление субсидии;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копии платежных документов, подтверждающих фактическое исполнение расходных обязательств местных бюджетов на софинансирование авансирования мероприятий Программы;</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в случае приобретения оборудования в соответствии с условиями заключенных муниципальных контрактов – договор на поставку оборудования и счета на оплату оборудования.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10.</w:t>
      </w:r>
      <w:r w:rsidRPr="00C04E1C">
        <w:rPr>
          <w:rFonts w:cs="Times New Roman"/>
          <w:kern w:val="28"/>
          <w:szCs w:val="28"/>
          <w:lang w:eastAsia="ru-RU"/>
        </w:rPr>
        <w:t xml:space="preserve"> </w:t>
      </w:r>
      <w:r w:rsidRPr="00C04E1C">
        <w:rPr>
          <w:rFonts w:cs="Times New Roman"/>
          <w:szCs w:val="28"/>
          <w:lang w:eastAsia="ru-RU"/>
        </w:rPr>
        <w:t>Окончательный расчет по муниципальному контракту, договору и выделение субсидии производятся на основании представленных в департамент документов, указанных в пункте 9 настоящего Порядка, после полного выполнения обязательств по софинансированию расходных обязательств из местных бюджетов.</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11. В случае уменьшения суммы субсидии муниципальным образованиям области в результате экономии по итогам проведения закупок оборудования и работ по объектам Программы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w:t>
      </w:r>
      <w:r w:rsidRPr="00C04E1C">
        <w:rPr>
          <w:rFonts w:cs="Times New Roman"/>
          <w:szCs w:val="28"/>
          <w:lang w:eastAsia="ru-RU"/>
        </w:rPr>
        <w:lastRenderedPageBreak/>
        <w:t>и в сводную бюджетную роспись областного бюджета, с последующим заключением дополнительного соглашения.</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 xml:space="preserve">12. Субсидия расходуется только по целевому назначению для финансирования работ, указанных в пунктах 2, 3 настоящего Порядка. </w:t>
      </w:r>
    </w:p>
    <w:p w:rsidR="009F6EE7" w:rsidRPr="00C04E1C" w:rsidRDefault="009F6EE7" w:rsidP="00430993">
      <w:pPr>
        <w:overflowPunct w:val="0"/>
        <w:autoSpaceDE w:val="0"/>
        <w:autoSpaceDN w:val="0"/>
        <w:adjustRightInd w:val="0"/>
        <w:contextualSpacing/>
        <w:jc w:val="both"/>
        <w:textAlignment w:val="baseline"/>
        <w:rPr>
          <w:rFonts w:cs="Times New Roman"/>
          <w:szCs w:val="18"/>
          <w:lang w:eastAsia="ru-RU"/>
        </w:rPr>
      </w:pPr>
      <w:r w:rsidRPr="00C04E1C">
        <w:rPr>
          <w:rFonts w:cs="Times New Roman"/>
          <w:szCs w:val="28"/>
          <w:lang w:eastAsia="ru-RU"/>
        </w:rPr>
        <w:t xml:space="preserve">13. Ответственность за нецелевое расходование субсидии возлагается на органы местного самоуправления муниципальных районов (городских округов, городских поселений) области. </w:t>
      </w:r>
      <w:r w:rsidRPr="00C04E1C">
        <w:rPr>
          <w:rFonts w:cs="Times New Roman"/>
          <w:szCs w:val="18"/>
          <w:lang w:eastAsia="ru-RU"/>
        </w:rPr>
        <w:t>В случае нецелевого использования субсидии к муниципальному образованию применяются бюджетные меры принуждения, предусмотренные законодательством Российской Федерации.</w:t>
      </w:r>
    </w:p>
    <w:p w:rsidR="009F6EE7" w:rsidRPr="00C04E1C" w:rsidRDefault="009F6EE7" w:rsidP="00430993">
      <w:pPr>
        <w:autoSpaceDE w:val="0"/>
        <w:autoSpaceDN w:val="0"/>
        <w:adjustRightInd w:val="0"/>
        <w:contextualSpacing/>
        <w:jc w:val="both"/>
        <w:rPr>
          <w:rFonts w:cs="Times New Roman"/>
          <w:szCs w:val="28"/>
          <w:lang w:eastAsia="ru-RU"/>
        </w:rPr>
      </w:pPr>
      <w:r w:rsidRPr="00C04E1C">
        <w:rPr>
          <w:rFonts w:cs="Times New Roman"/>
          <w:szCs w:val="28"/>
          <w:lang w:eastAsia="ru-RU"/>
        </w:rPr>
        <w:t>14. Контроль за соблюдением органами местного самоуправления муниципальных образований области условий предоставления субсидии осуществляют департамент и орган государственного финансового контроля Ярославской области.</w:t>
      </w:r>
    </w:p>
    <w:p w:rsidR="009F6EE7" w:rsidRPr="00C04E1C" w:rsidRDefault="009F6EE7" w:rsidP="00430993">
      <w:pPr>
        <w:tabs>
          <w:tab w:val="left" w:pos="4530"/>
        </w:tabs>
        <w:contextualSpacing/>
        <w:jc w:val="both"/>
        <w:rPr>
          <w:szCs w:val="28"/>
        </w:rPr>
      </w:pPr>
      <w:r w:rsidRPr="00C04E1C">
        <w:rPr>
          <w:rFonts w:cs="Times New Roman"/>
          <w:szCs w:val="28"/>
          <w:lang w:eastAsia="ru-RU"/>
        </w:rPr>
        <w:t xml:space="preserve">15. </w:t>
      </w:r>
      <w:r w:rsidRPr="00C04E1C">
        <w:rPr>
          <w:szCs w:val="28"/>
        </w:rPr>
        <w:t>Оценка результативности и эффективности использования субсидии осуществляется ответственным исполнителем Программы ежегодно не позднее 10 февраля года, следующего за отчетным, путем установления степени достижения ожидаемых результатов, а также сравнения текущих значений показателей с их плановыми значениями.</w:t>
      </w:r>
    </w:p>
    <w:p w:rsidR="009F6EE7" w:rsidRPr="00C04E1C" w:rsidRDefault="009F6EE7" w:rsidP="00430993">
      <w:pPr>
        <w:contextualSpacing/>
        <w:jc w:val="both"/>
        <w:rPr>
          <w:szCs w:val="28"/>
        </w:rPr>
      </w:pPr>
      <w:r w:rsidRPr="00C04E1C">
        <w:rPr>
          <w:szCs w:val="28"/>
        </w:rPr>
        <w:t>Показатель результативности использования субсидии (Р) рассчитывается по формуле:</w:t>
      </w:r>
    </w:p>
    <w:p w:rsidR="009F6EE7" w:rsidRDefault="009F6EE7" w:rsidP="00430993">
      <w:pPr>
        <w:contextualSpacing/>
        <w:jc w:val="center"/>
        <w:rPr>
          <w:szCs w:val="28"/>
        </w:rPr>
      </w:pPr>
    </w:p>
    <w:p w:rsidR="009F6EE7" w:rsidRPr="00C04E1C" w:rsidRDefault="009F6EE7" w:rsidP="00430993">
      <w:pPr>
        <w:contextualSpacing/>
        <w:jc w:val="center"/>
        <w:rPr>
          <w:szCs w:val="28"/>
        </w:rPr>
      </w:pPr>
    </w:p>
    <w:tbl>
      <w:tblPr>
        <w:tblW w:w="0" w:type="auto"/>
        <w:tblLook w:val="04A0" w:firstRow="1" w:lastRow="0" w:firstColumn="1" w:lastColumn="0" w:noHBand="0" w:noVBand="1"/>
      </w:tblPr>
      <w:tblGrid>
        <w:gridCol w:w="3189"/>
        <w:gridCol w:w="3190"/>
        <w:gridCol w:w="3191"/>
      </w:tblGrid>
      <w:tr w:rsidR="009F6EE7" w:rsidRPr="00C04E1C" w:rsidTr="00931A4F">
        <w:tc>
          <w:tcPr>
            <w:tcW w:w="3190" w:type="dxa"/>
            <w:vMerge w:val="restart"/>
            <w:shd w:val="clear" w:color="auto" w:fill="auto"/>
            <w:vAlign w:val="center"/>
          </w:tcPr>
          <w:p w:rsidR="009F6EE7" w:rsidRPr="00C04E1C" w:rsidRDefault="009F6EE7" w:rsidP="00430993">
            <w:pPr>
              <w:ind w:firstLine="0"/>
              <w:contextualSpacing/>
              <w:jc w:val="right"/>
              <w:rPr>
                <w:szCs w:val="28"/>
              </w:rPr>
            </w:pPr>
            <w:r w:rsidRPr="00C04E1C">
              <w:rPr>
                <w:szCs w:val="28"/>
              </w:rPr>
              <w:t>Р =</w:t>
            </w:r>
          </w:p>
        </w:tc>
        <w:tc>
          <w:tcPr>
            <w:tcW w:w="3190" w:type="dxa"/>
            <w:tcBorders>
              <w:bottom w:val="single" w:sz="4" w:space="0" w:color="auto"/>
            </w:tcBorders>
            <w:shd w:val="clear" w:color="auto" w:fill="auto"/>
          </w:tcPr>
          <w:p w:rsidR="009F6EE7" w:rsidRPr="00C04E1C" w:rsidRDefault="009F6EE7" w:rsidP="00430993">
            <w:pPr>
              <w:ind w:firstLine="0"/>
              <w:contextualSpacing/>
              <w:jc w:val="center"/>
              <w:rPr>
                <w:szCs w:val="28"/>
              </w:rPr>
            </w:pPr>
            <w:r w:rsidRPr="00C04E1C">
              <w:rPr>
                <w:szCs w:val="28"/>
                <w:lang w:val="en-US"/>
              </w:rPr>
              <w:t>SUM</w:t>
            </w:r>
            <w:r w:rsidRPr="00C04E1C">
              <w:rPr>
                <w:szCs w:val="28"/>
              </w:rPr>
              <w:t xml:space="preserve"> </w:t>
            </w:r>
            <w:r w:rsidRPr="00C04E1C">
              <w:rPr>
                <w:szCs w:val="28"/>
                <w:lang w:val="en-US"/>
              </w:rPr>
              <w:t>K</w:t>
            </w:r>
            <w:r w:rsidRPr="00C04E1C">
              <w:rPr>
                <w:szCs w:val="28"/>
                <w:vertAlign w:val="subscript"/>
                <w:lang w:val="en-US"/>
              </w:rPr>
              <w:t>i</w:t>
            </w:r>
            <w:r w:rsidRPr="00C04E1C">
              <w:rPr>
                <w:szCs w:val="28"/>
                <w:vertAlign w:val="subscript"/>
              </w:rPr>
              <w:t xml:space="preserve"> </w:t>
            </w:r>
            <w:r w:rsidRPr="00C04E1C">
              <w:rPr>
                <w:rFonts w:cs="Times New Roman"/>
                <w:szCs w:val="28"/>
              </w:rPr>
              <w:t>× (</w:t>
            </w:r>
            <w:r w:rsidRPr="00C04E1C">
              <w:rPr>
                <w:rFonts w:cs="Times New Roman"/>
                <w:szCs w:val="28"/>
                <w:lang w:val="en-US"/>
              </w:rPr>
              <w:t>X</w:t>
            </w:r>
            <w:r w:rsidRPr="00C04E1C">
              <w:rPr>
                <w:rFonts w:cs="Times New Roman"/>
                <w:szCs w:val="28"/>
                <w:vertAlign w:val="subscript"/>
                <w:lang w:val="en-US"/>
              </w:rPr>
              <w:t>i</w:t>
            </w:r>
            <w:r w:rsidRPr="00C04E1C">
              <w:rPr>
                <w:rFonts w:cs="Times New Roman"/>
                <w:szCs w:val="28"/>
                <w:vertAlign w:val="subscript"/>
              </w:rPr>
              <w:t xml:space="preserve"> факт.</w:t>
            </w:r>
            <w:r w:rsidRPr="00C04E1C">
              <w:rPr>
                <w:rFonts w:cs="Times New Roman"/>
                <w:szCs w:val="28"/>
              </w:rPr>
              <w:t xml:space="preserve">/ </w:t>
            </w:r>
            <w:r w:rsidRPr="00C04E1C">
              <w:rPr>
                <w:rFonts w:cs="Times New Roman"/>
                <w:szCs w:val="28"/>
                <w:lang w:val="en-US"/>
              </w:rPr>
              <w:t>X</w:t>
            </w:r>
            <w:r w:rsidRPr="00C04E1C">
              <w:rPr>
                <w:rFonts w:cs="Times New Roman"/>
                <w:szCs w:val="28"/>
                <w:vertAlign w:val="subscript"/>
                <w:lang w:val="en-US"/>
              </w:rPr>
              <w:t>i</w:t>
            </w:r>
            <w:r w:rsidRPr="00C04E1C">
              <w:rPr>
                <w:rFonts w:cs="Times New Roman"/>
                <w:szCs w:val="28"/>
                <w:vertAlign w:val="subscript"/>
              </w:rPr>
              <w:t xml:space="preserve"> план.</w:t>
            </w:r>
            <w:r w:rsidRPr="00C04E1C">
              <w:rPr>
                <w:rFonts w:cs="Times New Roman"/>
                <w:szCs w:val="28"/>
              </w:rPr>
              <w:t>)</w:t>
            </w:r>
          </w:p>
        </w:tc>
        <w:tc>
          <w:tcPr>
            <w:tcW w:w="3191" w:type="dxa"/>
            <w:vMerge w:val="restart"/>
            <w:shd w:val="clear" w:color="auto" w:fill="auto"/>
            <w:vAlign w:val="center"/>
          </w:tcPr>
          <w:p w:rsidR="009F6EE7" w:rsidRPr="00C04E1C" w:rsidRDefault="009F6EE7" w:rsidP="00430993">
            <w:pPr>
              <w:ind w:firstLine="0"/>
              <w:contextualSpacing/>
              <w:rPr>
                <w:szCs w:val="28"/>
              </w:rPr>
            </w:pPr>
            <w:r w:rsidRPr="00C04E1C">
              <w:rPr>
                <w:rFonts w:cs="Times New Roman"/>
                <w:szCs w:val="28"/>
              </w:rPr>
              <w:t>×</w:t>
            </w:r>
            <w:r w:rsidRPr="00C04E1C">
              <w:rPr>
                <w:szCs w:val="28"/>
                <w:lang w:val="en-US"/>
              </w:rPr>
              <w:t xml:space="preserve"> 100 %</w:t>
            </w:r>
            <w:r w:rsidRPr="00C04E1C">
              <w:rPr>
                <w:szCs w:val="28"/>
              </w:rPr>
              <w:t>,</w:t>
            </w:r>
          </w:p>
        </w:tc>
      </w:tr>
      <w:tr w:rsidR="009F6EE7" w:rsidRPr="00C04E1C" w:rsidTr="00931A4F">
        <w:tc>
          <w:tcPr>
            <w:tcW w:w="3190" w:type="dxa"/>
            <w:vMerge/>
            <w:shd w:val="clear" w:color="auto" w:fill="auto"/>
          </w:tcPr>
          <w:p w:rsidR="009F6EE7" w:rsidRPr="00C04E1C" w:rsidRDefault="009F6EE7" w:rsidP="00430993">
            <w:pPr>
              <w:ind w:firstLine="0"/>
              <w:contextualSpacing/>
              <w:jc w:val="center"/>
              <w:rPr>
                <w:szCs w:val="28"/>
              </w:rPr>
            </w:pPr>
          </w:p>
        </w:tc>
        <w:tc>
          <w:tcPr>
            <w:tcW w:w="3190" w:type="dxa"/>
            <w:tcBorders>
              <w:top w:val="single" w:sz="4" w:space="0" w:color="auto"/>
            </w:tcBorders>
            <w:shd w:val="clear" w:color="auto" w:fill="auto"/>
          </w:tcPr>
          <w:p w:rsidR="009F6EE7" w:rsidRPr="00C04E1C" w:rsidRDefault="009F6EE7" w:rsidP="00430993">
            <w:pPr>
              <w:ind w:firstLine="0"/>
              <w:contextualSpacing/>
              <w:jc w:val="center"/>
              <w:rPr>
                <w:szCs w:val="28"/>
                <w:lang w:val="en-US"/>
              </w:rPr>
            </w:pPr>
            <w:r w:rsidRPr="00C04E1C">
              <w:rPr>
                <w:szCs w:val="28"/>
                <w:lang w:val="en-US"/>
              </w:rPr>
              <w:t>№</w:t>
            </w:r>
          </w:p>
        </w:tc>
        <w:tc>
          <w:tcPr>
            <w:tcW w:w="3191" w:type="dxa"/>
            <w:vMerge/>
            <w:shd w:val="clear" w:color="auto" w:fill="auto"/>
          </w:tcPr>
          <w:p w:rsidR="009F6EE7" w:rsidRPr="00C04E1C" w:rsidRDefault="009F6EE7" w:rsidP="00430993">
            <w:pPr>
              <w:ind w:firstLine="0"/>
              <w:contextualSpacing/>
              <w:jc w:val="center"/>
              <w:rPr>
                <w:szCs w:val="28"/>
              </w:rPr>
            </w:pPr>
          </w:p>
        </w:tc>
      </w:tr>
    </w:tbl>
    <w:p w:rsidR="009F6EE7" w:rsidRPr="00C04E1C" w:rsidRDefault="009F6EE7" w:rsidP="00430993">
      <w:pPr>
        <w:contextualSpacing/>
        <w:jc w:val="center"/>
        <w:rPr>
          <w:szCs w:val="28"/>
        </w:rPr>
      </w:pPr>
    </w:p>
    <w:p w:rsidR="009F6EE7" w:rsidRPr="00C04E1C" w:rsidRDefault="009F6EE7" w:rsidP="00430993">
      <w:pPr>
        <w:ind w:firstLine="0"/>
        <w:contextualSpacing/>
        <w:jc w:val="both"/>
        <w:rPr>
          <w:szCs w:val="28"/>
        </w:rPr>
      </w:pPr>
      <w:r w:rsidRPr="00C04E1C">
        <w:rPr>
          <w:szCs w:val="28"/>
        </w:rPr>
        <w:t>где:</w:t>
      </w:r>
    </w:p>
    <w:p w:rsidR="009F6EE7" w:rsidRPr="00C04E1C" w:rsidRDefault="009F6EE7" w:rsidP="00430993">
      <w:pPr>
        <w:contextualSpacing/>
        <w:jc w:val="both"/>
        <w:rPr>
          <w:szCs w:val="28"/>
        </w:rPr>
      </w:pPr>
      <w:r w:rsidRPr="00C04E1C">
        <w:rPr>
          <w:szCs w:val="28"/>
          <w:lang w:val="en-US"/>
        </w:rPr>
        <w:t>K</w:t>
      </w:r>
      <w:r w:rsidRPr="00C04E1C">
        <w:rPr>
          <w:szCs w:val="28"/>
          <w:vertAlign w:val="subscript"/>
          <w:lang w:val="en-US"/>
        </w:rPr>
        <w:t>i</w:t>
      </w:r>
      <w:r w:rsidRPr="00C04E1C">
        <w:rPr>
          <w:szCs w:val="28"/>
        </w:rPr>
        <w:t xml:space="preserve"> – весовой коэффициент параметра;</w:t>
      </w:r>
    </w:p>
    <w:p w:rsidR="009F6EE7" w:rsidRPr="00C04E1C" w:rsidRDefault="009F6EE7" w:rsidP="00430993">
      <w:pPr>
        <w:contextualSpacing/>
        <w:jc w:val="both"/>
        <w:rPr>
          <w:szCs w:val="28"/>
        </w:rPr>
      </w:pPr>
      <w:r w:rsidRPr="00C04E1C">
        <w:rPr>
          <w:rFonts w:cs="Times New Roman"/>
          <w:szCs w:val="28"/>
          <w:lang w:val="en-US"/>
        </w:rPr>
        <w:t>X</w:t>
      </w:r>
      <w:r w:rsidRPr="00C04E1C">
        <w:rPr>
          <w:rFonts w:cs="Times New Roman"/>
          <w:szCs w:val="28"/>
          <w:vertAlign w:val="subscript"/>
          <w:lang w:val="en-US"/>
        </w:rPr>
        <w:t>i</w:t>
      </w:r>
      <w:r w:rsidRPr="00C04E1C">
        <w:rPr>
          <w:rFonts w:cs="Times New Roman"/>
          <w:szCs w:val="28"/>
          <w:vertAlign w:val="subscript"/>
        </w:rPr>
        <w:t xml:space="preserve"> факт</w:t>
      </w:r>
      <w:r w:rsidRPr="00C04E1C">
        <w:rPr>
          <w:szCs w:val="28"/>
        </w:rPr>
        <w:t xml:space="preserve"> – фактическое значение i-го целевого показателя за отчетный период;</w:t>
      </w:r>
    </w:p>
    <w:p w:rsidR="009F6EE7" w:rsidRPr="00C04E1C" w:rsidRDefault="009F6EE7" w:rsidP="00430993">
      <w:pPr>
        <w:contextualSpacing/>
        <w:jc w:val="both"/>
        <w:rPr>
          <w:szCs w:val="28"/>
        </w:rPr>
      </w:pPr>
      <w:r w:rsidRPr="00C04E1C">
        <w:rPr>
          <w:rFonts w:cs="Times New Roman"/>
          <w:szCs w:val="28"/>
          <w:lang w:val="en-US"/>
        </w:rPr>
        <w:t>X</w:t>
      </w:r>
      <w:r w:rsidRPr="00C04E1C">
        <w:rPr>
          <w:rFonts w:cs="Times New Roman"/>
          <w:szCs w:val="28"/>
          <w:vertAlign w:val="subscript"/>
          <w:lang w:val="en-US"/>
        </w:rPr>
        <w:t>i</w:t>
      </w:r>
      <w:r w:rsidRPr="00C04E1C">
        <w:rPr>
          <w:rFonts w:cs="Times New Roman"/>
          <w:szCs w:val="28"/>
          <w:vertAlign w:val="subscript"/>
        </w:rPr>
        <w:t xml:space="preserve"> план.</w:t>
      </w:r>
      <w:r w:rsidRPr="00C04E1C">
        <w:rPr>
          <w:szCs w:val="28"/>
        </w:rPr>
        <w:t xml:space="preserve"> – плановое (целевое) значение целевого показателя за отчетный период;</w:t>
      </w:r>
    </w:p>
    <w:p w:rsidR="009F6EE7" w:rsidRPr="00C04E1C" w:rsidRDefault="009F6EE7" w:rsidP="00430993">
      <w:pPr>
        <w:contextualSpacing/>
        <w:jc w:val="both"/>
        <w:rPr>
          <w:szCs w:val="28"/>
        </w:rPr>
      </w:pPr>
      <w:r w:rsidRPr="00C04E1C">
        <w:rPr>
          <w:szCs w:val="28"/>
        </w:rPr>
        <w:t xml:space="preserve">№ – количество мероприятий.  </w:t>
      </w:r>
    </w:p>
    <w:p w:rsidR="009F6EE7" w:rsidRPr="00C04E1C" w:rsidRDefault="009F6EE7" w:rsidP="00430993">
      <w:pPr>
        <w:contextualSpacing/>
        <w:jc w:val="both"/>
        <w:rPr>
          <w:szCs w:val="28"/>
        </w:rPr>
      </w:pPr>
      <w:r w:rsidRPr="00C04E1C">
        <w:rPr>
          <w:szCs w:val="28"/>
        </w:rPr>
        <w:t>При значении показателя результативности использования субсидии 95 процентов и более результативность использования субсидии признается высокой, при значении от 85 до 95 процентов – средней, при значении 85 процентов и менее – низкой.</w:t>
      </w:r>
    </w:p>
    <w:p w:rsidR="009F6EE7" w:rsidRPr="00C04E1C" w:rsidRDefault="009F6EE7" w:rsidP="00430993">
      <w:pPr>
        <w:contextualSpacing/>
        <w:jc w:val="both"/>
        <w:rPr>
          <w:szCs w:val="28"/>
        </w:rPr>
      </w:pPr>
      <w:r w:rsidRPr="00C04E1C">
        <w:rPr>
          <w:szCs w:val="28"/>
        </w:rPr>
        <w:t>Показатель эффективности использования субсидии (R) рассчитывается по формуле:</w:t>
      </w:r>
    </w:p>
    <w:p w:rsidR="009F6EE7" w:rsidRPr="00C04E1C" w:rsidRDefault="009F6EE7" w:rsidP="00430993">
      <w:pPr>
        <w:contextualSpacing/>
        <w:jc w:val="both"/>
        <w:rPr>
          <w:szCs w:val="28"/>
        </w:rPr>
      </w:pPr>
    </w:p>
    <w:p w:rsidR="009F6EE7" w:rsidRPr="00C04E1C" w:rsidRDefault="009F6EE7" w:rsidP="00430993">
      <w:pPr>
        <w:ind w:firstLine="0"/>
        <w:contextualSpacing/>
        <w:jc w:val="center"/>
        <w:rPr>
          <w:szCs w:val="28"/>
        </w:rPr>
      </w:pPr>
      <w:r w:rsidRPr="00C04E1C">
        <w:rPr>
          <w:szCs w:val="28"/>
        </w:rPr>
        <w:t xml:space="preserve">R = Р / (F </w:t>
      </w:r>
      <w:r w:rsidRPr="00C04E1C">
        <w:rPr>
          <w:szCs w:val="28"/>
          <w:vertAlign w:val="subscript"/>
        </w:rPr>
        <w:t>тек.</w:t>
      </w:r>
      <w:r w:rsidRPr="00C04E1C">
        <w:rPr>
          <w:szCs w:val="28"/>
        </w:rPr>
        <w:t xml:space="preserve"> / F </w:t>
      </w:r>
      <w:r w:rsidRPr="00C04E1C">
        <w:rPr>
          <w:szCs w:val="28"/>
          <w:vertAlign w:val="subscript"/>
        </w:rPr>
        <w:t>план.</w:t>
      </w:r>
      <w:r w:rsidRPr="00C04E1C">
        <w:rPr>
          <w:szCs w:val="28"/>
        </w:rPr>
        <w:t>),</w:t>
      </w:r>
    </w:p>
    <w:p w:rsidR="009F6EE7" w:rsidRPr="00C04E1C" w:rsidRDefault="009F6EE7" w:rsidP="00430993">
      <w:pPr>
        <w:ind w:firstLine="0"/>
        <w:contextualSpacing/>
        <w:jc w:val="both"/>
        <w:rPr>
          <w:szCs w:val="28"/>
        </w:rPr>
      </w:pPr>
      <w:r w:rsidRPr="00C04E1C">
        <w:rPr>
          <w:szCs w:val="28"/>
        </w:rPr>
        <w:t>где:</w:t>
      </w:r>
    </w:p>
    <w:p w:rsidR="009F6EE7" w:rsidRPr="00C04E1C" w:rsidRDefault="009F6EE7" w:rsidP="00430993">
      <w:pPr>
        <w:contextualSpacing/>
        <w:jc w:val="both"/>
        <w:rPr>
          <w:szCs w:val="28"/>
        </w:rPr>
      </w:pPr>
      <w:r w:rsidRPr="00C04E1C">
        <w:rPr>
          <w:szCs w:val="28"/>
        </w:rPr>
        <w:t>Р – показатель результативности использования субсидии;</w:t>
      </w:r>
    </w:p>
    <w:p w:rsidR="009F6EE7" w:rsidRPr="00C04E1C" w:rsidRDefault="009F6EE7" w:rsidP="00430993">
      <w:pPr>
        <w:contextualSpacing/>
        <w:jc w:val="both"/>
        <w:rPr>
          <w:szCs w:val="28"/>
        </w:rPr>
      </w:pPr>
      <w:r w:rsidRPr="00C04E1C">
        <w:rPr>
          <w:szCs w:val="28"/>
        </w:rPr>
        <w:t xml:space="preserve">F </w:t>
      </w:r>
      <w:r w:rsidRPr="00C04E1C">
        <w:rPr>
          <w:szCs w:val="28"/>
          <w:vertAlign w:val="subscript"/>
        </w:rPr>
        <w:t>тек.</w:t>
      </w:r>
      <w:r w:rsidRPr="00C04E1C">
        <w:rPr>
          <w:szCs w:val="28"/>
        </w:rPr>
        <w:t xml:space="preserve"> – фактическая сумма финансирования за отчетный период;</w:t>
      </w:r>
    </w:p>
    <w:p w:rsidR="009F6EE7" w:rsidRPr="00C04E1C" w:rsidRDefault="009F6EE7" w:rsidP="00430993">
      <w:pPr>
        <w:contextualSpacing/>
        <w:jc w:val="both"/>
        <w:rPr>
          <w:szCs w:val="28"/>
        </w:rPr>
      </w:pPr>
      <w:r w:rsidRPr="00C04E1C">
        <w:rPr>
          <w:szCs w:val="28"/>
        </w:rPr>
        <w:t xml:space="preserve">F </w:t>
      </w:r>
      <w:r w:rsidRPr="00C04E1C">
        <w:rPr>
          <w:szCs w:val="28"/>
          <w:vertAlign w:val="subscript"/>
        </w:rPr>
        <w:t>план.</w:t>
      </w:r>
      <w:r w:rsidRPr="00C04E1C">
        <w:rPr>
          <w:szCs w:val="28"/>
        </w:rPr>
        <w:t xml:space="preserve"> – плановая сумма финансирования за отчетный период.</w:t>
      </w:r>
    </w:p>
    <w:p w:rsidR="009F6EE7" w:rsidRPr="00C04E1C" w:rsidRDefault="009F6EE7" w:rsidP="00430993">
      <w:pPr>
        <w:contextualSpacing/>
        <w:jc w:val="both"/>
        <w:rPr>
          <w:szCs w:val="28"/>
        </w:rPr>
      </w:pPr>
      <w:r w:rsidRPr="00C04E1C">
        <w:rPr>
          <w:szCs w:val="28"/>
        </w:rPr>
        <w:lastRenderedPageBreak/>
        <w:t>При значении показателя эффективности использования субсидии 95 процентов и более эффективность реализации Программы и использования субсидии признается высокой, при значении от 85 до 95 процентов – средней, при значении 85 процентов и менее – низкой.</w:t>
      </w:r>
    </w:p>
    <w:p w:rsidR="009F6EE7" w:rsidRPr="00C04E1C" w:rsidRDefault="009F6EE7" w:rsidP="00430993">
      <w:pPr>
        <w:contextualSpacing/>
        <w:jc w:val="both"/>
        <w:rPr>
          <w:szCs w:val="28"/>
        </w:rPr>
      </w:pPr>
      <w:r w:rsidRPr="00C04E1C">
        <w:rPr>
          <w:szCs w:val="28"/>
        </w:rPr>
        <w:t>При расчете результативности, эффективности использования субсидии применяются следующие целевые показатели и их весовые коэффициенты:</w:t>
      </w:r>
    </w:p>
    <w:tbl>
      <w:tblPr>
        <w:tblW w:w="5000" w:type="pct"/>
        <w:tblCellMar>
          <w:left w:w="120" w:type="dxa"/>
          <w:right w:w="120" w:type="dxa"/>
        </w:tblCellMar>
        <w:tblLook w:val="0000" w:firstRow="0" w:lastRow="0" w:firstColumn="0" w:lastColumn="0" w:noHBand="0" w:noVBand="0"/>
      </w:tblPr>
      <w:tblGrid>
        <w:gridCol w:w="618"/>
        <w:gridCol w:w="7005"/>
        <w:gridCol w:w="1971"/>
      </w:tblGrid>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 п/п</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Наименование целевого показателя</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Значение весового коэффициента</w:t>
            </w:r>
          </w:p>
        </w:tc>
      </w:tr>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1.</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rPr>
                <w:szCs w:val="28"/>
              </w:rPr>
            </w:pPr>
            <w:r w:rsidRPr="00C04E1C">
              <w:rPr>
                <w:szCs w:val="28"/>
              </w:rPr>
              <w:t>Доля технической готовности мероприятия (объекта), %</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0,5</w:t>
            </w:r>
          </w:p>
        </w:tc>
      </w:tr>
      <w:tr w:rsidR="009F6EE7" w:rsidRPr="00C04E1C" w:rsidTr="00931A4F">
        <w:tc>
          <w:tcPr>
            <w:tcW w:w="322"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2.</w:t>
            </w:r>
          </w:p>
        </w:tc>
        <w:tc>
          <w:tcPr>
            <w:tcW w:w="3651"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rPr>
                <w:szCs w:val="28"/>
              </w:rPr>
            </w:pPr>
            <w:r w:rsidRPr="00C04E1C">
              <w:rPr>
                <w:szCs w:val="28"/>
              </w:rPr>
              <w:t>Доля освоенных средств в общей сметной стоимости мероприятия (объекта), %</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0,5</w:t>
            </w:r>
          </w:p>
        </w:tc>
      </w:tr>
      <w:tr w:rsidR="009F6EE7" w:rsidRPr="00C04E1C" w:rsidTr="00931A4F">
        <w:tc>
          <w:tcPr>
            <w:tcW w:w="3973" w:type="pct"/>
            <w:gridSpan w:val="2"/>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rPr>
                <w:szCs w:val="28"/>
              </w:rPr>
            </w:pPr>
            <w:r w:rsidRPr="00C04E1C">
              <w:rPr>
                <w:szCs w:val="28"/>
              </w:rPr>
              <w:t>Итого</w:t>
            </w:r>
          </w:p>
        </w:tc>
        <w:tc>
          <w:tcPr>
            <w:tcW w:w="1027" w:type="pct"/>
            <w:tcBorders>
              <w:top w:val="single" w:sz="2" w:space="0" w:color="auto"/>
              <w:left w:val="single" w:sz="2" w:space="0" w:color="auto"/>
              <w:bottom w:val="single" w:sz="2" w:space="0" w:color="auto"/>
              <w:right w:val="single" w:sz="2" w:space="0" w:color="auto"/>
            </w:tcBorders>
          </w:tcPr>
          <w:p w:rsidR="009F6EE7" w:rsidRPr="00C04E1C" w:rsidRDefault="009F6EE7" w:rsidP="00430993">
            <w:pPr>
              <w:ind w:firstLine="0"/>
              <w:contextualSpacing/>
              <w:jc w:val="center"/>
              <w:rPr>
                <w:szCs w:val="28"/>
              </w:rPr>
            </w:pPr>
            <w:r w:rsidRPr="00C04E1C">
              <w:rPr>
                <w:szCs w:val="28"/>
              </w:rPr>
              <w:t>1,0</w:t>
            </w:r>
          </w:p>
        </w:tc>
      </w:tr>
    </w:tbl>
    <w:p w:rsidR="009F6EE7" w:rsidRPr="00C04E1C" w:rsidRDefault="009F6EE7" w:rsidP="00430993">
      <w:pPr>
        <w:autoSpaceDE w:val="0"/>
        <w:autoSpaceDN w:val="0"/>
        <w:adjustRightInd w:val="0"/>
        <w:contextualSpacing/>
        <w:jc w:val="both"/>
        <w:rPr>
          <w:szCs w:val="28"/>
        </w:rPr>
      </w:pPr>
    </w:p>
    <w:p w:rsidR="009F6EE7" w:rsidRPr="00C04E1C" w:rsidRDefault="009F6EE7" w:rsidP="00430993">
      <w:pPr>
        <w:autoSpaceDE w:val="0"/>
        <w:autoSpaceDN w:val="0"/>
        <w:adjustRightInd w:val="0"/>
        <w:contextualSpacing/>
        <w:jc w:val="both"/>
        <w:rPr>
          <w:rFonts w:eastAsia="Calibri"/>
          <w:iCs/>
          <w:szCs w:val="28"/>
          <w:lang w:eastAsia="ru-RU"/>
        </w:rPr>
      </w:pPr>
      <w:r w:rsidRPr="00C04E1C">
        <w:rPr>
          <w:szCs w:val="28"/>
          <w:lang w:eastAsia="ru-RU"/>
        </w:rPr>
        <w:t>Перечень и значение результатов в отношении каждого муниципального образования области в разрезе мероприятий Программы устанавливаются в приложении к соглашению.</w:t>
      </w:r>
    </w:p>
    <w:sectPr w:rsidR="009F6EE7" w:rsidRPr="00C04E1C" w:rsidSect="00430993">
      <w:headerReference w:type="default" r:id="rId7"/>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7C6" w:rsidRDefault="00AC27C6" w:rsidP="006363C2">
      <w:r>
        <w:separator/>
      </w:r>
    </w:p>
  </w:endnote>
  <w:endnote w:type="continuationSeparator" w:id="0">
    <w:p w:rsidR="00AC27C6" w:rsidRDefault="00AC27C6" w:rsidP="0063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7C6" w:rsidRDefault="00AC27C6" w:rsidP="006363C2">
      <w:r>
        <w:separator/>
      </w:r>
    </w:p>
  </w:footnote>
  <w:footnote w:type="continuationSeparator" w:id="0">
    <w:p w:rsidR="00AC27C6" w:rsidRDefault="00AC27C6" w:rsidP="006363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297921"/>
    </w:sdtPr>
    <w:sdtEndPr/>
    <w:sdtContent>
      <w:p w:rsidR="006363C2" w:rsidRDefault="008B5C97" w:rsidP="000147FE">
        <w:pPr>
          <w:pStyle w:val="a4"/>
          <w:ind w:firstLine="0"/>
          <w:jc w:val="center"/>
        </w:pPr>
        <w:r>
          <w:fldChar w:fldCharType="begin"/>
        </w:r>
        <w:r w:rsidR="006363C2">
          <w:instrText>PAGE   \* MERGEFORMAT</w:instrText>
        </w:r>
        <w:r>
          <w:fldChar w:fldCharType="separate"/>
        </w:r>
        <w:r w:rsidR="007D3935">
          <w:rPr>
            <w:noProof/>
          </w:rPr>
          <w:t>8</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EE7"/>
    <w:rsid w:val="000147FE"/>
    <w:rsid w:val="000D69FD"/>
    <w:rsid w:val="00184A06"/>
    <w:rsid w:val="002107AC"/>
    <w:rsid w:val="003F32A6"/>
    <w:rsid w:val="00430993"/>
    <w:rsid w:val="004708C2"/>
    <w:rsid w:val="00501AC3"/>
    <w:rsid w:val="006363C2"/>
    <w:rsid w:val="0073076F"/>
    <w:rsid w:val="00776E5D"/>
    <w:rsid w:val="007C4BE2"/>
    <w:rsid w:val="007D3935"/>
    <w:rsid w:val="00857C10"/>
    <w:rsid w:val="008B5C97"/>
    <w:rsid w:val="009F6EE7"/>
    <w:rsid w:val="00A2236C"/>
    <w:rsid w:val="00AC27C6"/>
    <w:rsid w:val="00AE2E41"/>
    <w:rsid w:val="00AE3A34"/>
    <w:rsid w:val="00BD4E28"/>
    <w:rsid w:val="00C619A7"/>
    <w:rsid w:val="00CB4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EE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6EE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styleId="a4">
    <w:name w:val="header"/>
    <w:basedOn w:val="a"/>
    <w:link w:val="a5"/>
    <w:uiPriority w:val="99"/>
    <w:unhideWhenUsed/>
    <w:rsid w:val="006363C2"/>
    <w:pPr>
      <w:tabs>
        <w:tab w:val="center" w:pos="4677"/>
        <w:tab w:val="right" w:pos="9355"/>
      </w:tabs>
    </w:pPr>
  </w:style>
  <w:style w:type="character" w:customStyle="1" w:styleId="a5">
    <w:name w:val="Верхний колонтитул Знак"/>
    <w:basedOn w:val="a0"/>
    <w:link w:val="a4"/>
    <w:uiPriority w:val="99"/>
    <w:rsid w:val="006363C2"/>
    <w:rPr>
      <w:rFonts w:ascii="Times New Roman" w:eastAsia="Times New Roman" w:hAnsi="Times New Roman" w:cs="Calibri"/>
      <w:sz w:val="28"/>
    </w:rPr>
  </w:style>
  <w:style w:type="paragraph" w:styleId="a6">
    <w:name w:val="footer"/>
    <w:basedOn w:val="a"/>
    <w:link w:val="a7"/>
    <w:uiPriority w:val="99"/>
    <w:unhideWhenUsed/>
    <w:rsid w:val="006363C2"/>
    <w:pPr>
      <w:tabs>
        <w:tab w:val="center" w:pos="4677"/>
        <w:tab w:val="right" w:pos="9355"/>
      </w:tabs>
    </w:pPr>
  </w:style>
  <w:style w:type="character" w:customStyle="1" w:styleId="a7">
    <w:name w:val="Нижний колонтитул Знак"/>
    <w:basedOn w:val="a0"/>
    <w:link w:val="a6"/>
    <w:uiPriority w:val="99"/>
    <w:rsid w:val="006363C2"/>
    <w:rPr>
      <w:rFonts w:ascii="Times New Roman" w:eastAsia="Times New Roman" w:hAnsi="Times New Roman" w:cs="Calibri"/>
      <w:sz w:val="28"/>
    </w:rPr>
  </w:style>
  <w:style w:type="paragraph" w:styleId="a8">
    <w:name w:val="Balloon Text"/>
    <w:basedOn w:val="a"/>
    <w:link w:val="a9"/>
    <w:uiPriority w:val="99"/>
    <w:semiHidden/>
    <w:unhideWhenUsed/>
    <w:rsid w:val="00430993"/>
    <w:rPr>
      <w:rFonts w:ascii="Tahoma" w:hAnsi="Tahoma" w:cs="Tahoma"/>
      <w:sz w:val="16"/>
      <w:szCs w:val="16"/>
    </w:rPr>
  </w:style>
  <w:style w:type="character" w:customStyle="1" w:styleId="a9">
    <w:name w:val="Текст выноски Знак"/>
    <w:basedOn w:val="a0"/>
    <w:link w:val="a8"/>
    <w:uiPriority w:val="99"/>
    <w:semiHidden/>
    <w:rsid w:val="0043099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EE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F6EE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styleId="a4">
    <w:name w:val="header"/>
    <w:basedOn w:val="a"/>
    <w:link w:val="a5"/>
    <w:uiPriority w:val="99"/>
    <w:unhideWhenUsed/>
    <w:rsid w:val="006363C2"/>
    <w:pPr>
      <w:tabs>
        <w:tab w:val="center" w:pos="4677"/>
        <w:tab w:val="right" w:pos="9355"/>
      </w:tabs>
    </w:pPr>
  </w:style>
  <w:style w:type="character" w:customStyle="1" w:styleId="a5">
    <w:name w:val="Верхний колонтитул Знак"/>
    <w:basedOn w:val="a0"/>
    <w:link w:val="a4"/>
    <w:uiPriority w:val="99"/>
    <w:rsid w:val="006363C2"/>
    <w:rPr>
      <w:rFonts w:ascii="Times New Roman" w:eastAsia="Times New Roman" w:hAnsi="Times New Roman" w:cs="Calibri"/>
      <w:sz w:val="28"/>
    </w:rPr>
  </w:style>
  <w:style w:type="paragraph" w:styleId="a6">
    <w:name w:val="footer"/>
    <w:basedOn w:val="a"/>
    <w:link w:val="a7"/>
    <w:uiPriority w:val="99"/>
    <w:unhideWhenUsed/>
    <w:rsid w:val="006363C2"/>
    <w:pPr>
      <w:tabs>
        <w:tab w:val="center" w:pos="4677"/>
        <w:tab w:val="right" w:pos="9355"/>
      </w:tabs>
    </w:pPr>
  </w:style>
  <w:style w:type="character" w:customStyle="1" w:styleId="a7">
    <w:name w:val="Нижний колонтитул Знак"/>
    <w:basedOn w:val="a0"/>
    <w:link w:val="a6"/>
    <w:uiPriority w:val="99"/>
    <w:rsid w:val="006363C2"/>
    <w:rPr>
      <w:rFonts w:ascii="Times New Roman" w:eastAsia="Times New Roman" w:hAnsi="Times New Roman" w:cs="Calibri"/>
      <w:sz w:val="28"/>
    </w:rPr>
  </w:style>
  <w:style w:type="paragraph" w:styleId="a8">
    <w:name w:val="Balloon Text"/>
    <w:basedOn w:val="a"/>
    <w:link w:val="a9"/>
    <w:uiPriority w:val="99"/>
    <w:semiHidden/>
    <w:unhideWhenUsed/>
    <w:rsid w:val="00430993"/>
    <w:rPr>
      <w:rFonts w:ascii="Tahoma" w:hAnsi="Tahoma" w:cs="Tahoma"/>
      <w:sz w:val="16"/>
      <w:szCs w:val="16"/>
    </w:rPr>
  </w:style>
  <w:style w:type="character" w:customStyle="1" w:styleId="a9">
    <w:name w:val="Текст выноски Знак"/>
    <w:basedOn w:val="a0"/>
    <w:link w:val="a8"/>
    <w:uiPriority w:val="99"/>
    <w:semiHidden/>
    <w:rsid w:val="0043099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2702</Words>
  <Characters>15407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Игнатова Татьяна Михайловна</dc:creator>
  <cp:lastModifiedBy>Молчанова Ольга Петровна</cp:lastModifiedBy>
  <cp:revision>2</cp:revision>
  <dcterms:created xsi:type="dcterms:W3CDTF">2021-11-01T06:58:00Z</dcterms:created>
  <dcterms:modified xsi:type="dcterms:W3CDTF">2021-11-01T06:58:00Z</dcterms:modified>
</cp:coreProperties>
</file>