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374" w:rsidRPr="00FD3297" w:rsidRDefault="00554374" w:rsidP="004C3B97">
      <w:pPr>
        <w:widowControl w:val="0"/>
        <w:ind w:left="6237" w:firstLine="0"/>
        <w:contextualSpacing/>
        <w:rPr>
          <w:rFonts w:eastAsia="Calibri" w:cs="Times New Roman"/>
          <w:color w:val="000000" w:themeColor="text1"/>
          <w:sz w:val="27"/>
          <w:szCs w:val="27"/>
          <w:lang w:eastAsia="ru-RU"/>
        </w:rPr>
      </w:pPr>
      <w:bookmarkStart w:id="0" w:name="_GoBack"/>
      <w:bookmarkEnd w:id="0"/>
      <w:r w:rsidRPr="00FD3297">
        <w:rPr>
          <w:rFonts w:cs="Times New Roman"/>
          <w:color w:val="000000" w:themeColor="text1"/>
          <w:sz w:val="27"/>
          <w:szCs w:val="27"/>
          <w:lang w:eastAsia="ru-RU"/>
        </w:rPr>
        <w:t>ПРОЕКТ</w:t>
      </w:r>
    </w:p>
    <w:p w:rsidR="00554374" w:rsidRPr="00FD3297" w:rsidRDefault="00554374" w:rsidP="004C3B97">
      <w:pPr>
        <w:widowControl w:val="0"/>
        <w:ind w:left="7371" w:firstLine="0"/>
        <w:contextualSpacing/>
        <w:rPr>
          <w:rFonts w:eastAsia="Calibri" w:cs="Times New Roman"/>
          <w:color w:val="000000" w:themeColor="text1"/>
          <w:sz w:val="27"/>
          <w:szCs w:val="27"/>
          <w:lang w:eastAsia="ru-RU"/>
        </w:rPr>
      </w:pPr>
    </w:p>
    <w:p w:rsidR="00554374" w:rsidRPr="00FD3297" w:rsidRDefault="004C3B97" w:rsidP="004C3B97">
      <w:pPr>
        <w:widowControl w:val="0"/>
        <w:tabs>
          <w:tab w:val="left" w:pos="5352"/>
        </w:tabs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 w:val="27"/>
          <w:szCs w:val="27"/>
          <w:lang w:eastAsia="ru-RU"/>
        </w:rPr>
      </w:pPr>
      <w:r w:rsidRPr="00FD3297">
        <w:rPr>
          <w:rFonts w:cs="Times New Roman"/>
          <w:b/>
          <w:sz w:val="27"/>
          <w:szCs w:val="27"/>
          <w:lang w:eastAsia="ru-RU"/>
        </w:rPr>
        <w:t>МЕТОДИКА</w:t>
      </w:r>
    </w:p>
    <w:p w:rsidR="00554374" w:rsidRPr="00FD3297" w:rsidRDefault="004C3B97" w:rsidP="004C3B97">
      <w:pPr>
        <w:widowControl w:val="0"/>
        <w:autoSpaceDE w:val="0"/>
        <w:autoSpaceDN w:val="0"/>
        <w:adjustRightInd w:val="0"/>
        <w:ind w:right="-1" w:firstLine="0"/>
        <w:contextualSpacing/>
        <w:jc w:val="center"/>
        <w:rPr>
          <w:rFonts w:cs="Times New Roman"/>
          <w:b/>
          <w:spacing w:val="2"/>
          <w:sz w:val="27"/>
          <w:szCs w:val="27"/>
          <w:lang w:eastAsia="ru-RU"/>
        </w:rPr>
      </w:pPr>
      <w:r w:rsidRPr="00FD3297">
        <w:rPr>
          <w:rFonts w:cs="Times New Roman"/>
          <w:b/>
          <w:sz w:val="27"/>
          <w:szCs w:val="27"/>
          <w:lang w:eastAsia="ru-RU"/>
        </w:rPr>
        <w:t xml:space="preserve">РАСПРЕДЕЛЕНИЯ ИНЫХ МЕЖБЮДЖЕТНЫХ ТРАНСФЕРТОВ НА </w:t>
      </w:r>
      <w:r w:rsidRPr="00FD3297">
        <w:rPr>
          <w:rFonts w:cs="Times New Roman"/>
          <w:b/>
          <w:spacing w:val="2"/>
          <w:sz w:val="27"/>
          <w:szCs w:val="27"/>
          <w:lang w:eastAsia="ru-RU"/>
        </w:rPr>
        <w:t>СОЗДАНИЕ ВИРТУАЛЬНЫХ КОНЦЕРТНЫХ ЗАЛОВ И ПРАВИЛА ИХ ПРЕДОСТАВЛЕНИЯ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right="-1" w:firstLine="720"/>
        <w:contextualSpacing/>
        <w:jc w:val="both"/>
        <w:rPr>
          <w:rFonts w:cs="Times New Roman"/>
          <w:sz w:val="27"/>
          <w:szCs w:val="27"/>
          <w:lang w:eastAsia="ru-RU"/>
        </w:rPr>
      </w:pP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 xml:space="preserve">1. Методика распределения и предоставления иных межбюджетных трансфертов на создание виртуальных концертных залов (далее – Методика) разработана в соответствии с </w:t>
      </w:r>
      <w:hyperlink r:id="rId7" w:history="1">
        <w:r w:rsidRPr="00FD3297">
          <w:rPr>
            <w:rFonts w:cs="Times New Roman"/>
            <w:sz w:val="27"/>
            <w:szCs w:val="27"/>
            <w:lang w:eastAsia="ru-RU"/>
          </w:rPr>
          <w:t>Правилами</w:t>
        </w:r>
      </w:hyperlink>
      <w:r w:rsidRPr="00FD3297">
        <w:rPr>
          <w:rFonts w:cs="Times New Roman"/>
          <w:sz w:val="27"/>
          <w:szCs w:val="27"/>
          <w:lang w:eastAsia="ru-RU"/>
        </w:rPr>
        <w:t xml:space="preserve"> предоставления иных межбюджетных трансфертов из федерального бюджета бюджетам субъектов Российской Федерации на создание виртуальных концертных залов в городах Российской Федерации, утвержденными постановлением Правительства Российской Федерации от 9 марта 2019 г. № 253 «Об утверждении Правил предоставления иных межбюджетных трансфертов из федерального бюджета бюджетам субъектов Российской Федерации на создание виртуальных концертных залов в городах Российской Федерации», с целью предоставления иных межбюджетных трансфертов на создание виртуальных концертных залов (далее – иные межбюджетные трансферты). 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 xml:space="preserve">2. Иные межбюджетные трансферты предоставляются муниципальным образованиям области по результатам конкурсного отбора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виртуальных концертных залов в городах Российской Федерации (далее – конкурсный отбор), проводимом Министерством культуры Российской Федерации в соответствии с указанным </w:t>
      </w:r>
      <w:hyperlink r:id="rId8" w:history="1">
        <w:r w:rsidRPr="00FD3297">
          <w:rPr>
            <w:rFonts w:cs="Times New Roman"/>
            <w:sz w:val="27"/>
            <w:szCs w:val="27"/>
            <w:lang w:eastAsia="ru-RU"/>
          </w:rPr>
          <w:t>постановлением</w:t>
        </w:r>
      </w:hyperlink>
      <w:r w:rsidRPr="00FD3297">
        <w:rPr>
          <w:rFonts w:cs="Times New Roman"/>
          <w:sz w:val="27"/>
          <w:szCs w:val="27"/>
          <w:lang w:eastAsia="ru-RU"/>
        </w:rPr>
        <w:t>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Целью предоставления иных межбюджетных трансфертов является создание виртуальных концертных залов для повышения доступа жителей Ярославской области к произведениям филармонической музыки.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Создание виртуальных концертных залов включает в себя следующие мероприятия: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- обеспечение учреждений культуры высокоскоростным широкополосным доступом к информационно-телекоммуникационной сети «Интернет»;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- оснащение учреждений культуры техническим и технологическим оборудованием, необходимым для создания виртуального концертного зала;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- регулярное проведение трансляций филармонических концертов.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3. Иные межбюджетные трансферты формируются за счет средств иного межбюджетного трансферта из федерального бюджета бюджетам субъектов Российской Федерации на создание виртуальных концертных залов в городах Российской Федерации, предоставляемого областному бюджету в рамках федерального проекта «Цифровая культура» национального проекта «Культура».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 xml:space="preserve">4. Предоставление иных межбюджетных трансфертов осуществляется на основании соглашения о предоставлении иного межбюджетного трансферта (далее – соглашение) между муниципальным образованием области и департаментом культуры Ярославской области (далее – департамент). </w:t>
      </w:r>
      <w:r w:rsidRPr="00FD3297">
        <w:rPr>
          <w:rFonts w:cs="Times New Roman"/>
          <w:sz w:val="27"/>
          <w:szCs w:val="27"/>
          <w:lang w:eastAsia="ru-RU"/>
        </w:rPr>
        <w:lastRenderedPageBreak/>
        <w:t>Заключение соглашения осуществляется в государственной интегрированной информационной системе управления общественными финансами «Электронный бюджет».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Соглашение заключается в срок не позднее 30-го дня со дня вступления в силу соглашения о предоставлении иного межбюджетного трансферта из федерального бюджета на софинансирование расходных обязательств Ярославской области.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Функцию главного распорядителя средств областного бюджета по предоставлению иных межбюджетных трансфертов осуществляет департамент. Иные межбюджетные трансферты предоставляются в пределах средств, предусмотренных в областном бюджете в соответствии с законом Ярославской области об областном бюджете на очередной финансовый год и плановый период.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Перечисление иного межбюджетного трансферта муниципальному образованию области – получателю иного межбюджетного трансферта осуществляется на основании соглашения в соответствии с заявкой на перечисление иного межбюджетного трансферта в пределах кассового плана областного бюджета, утвержденного на соответствующий квартал, на счет Управления Федерального казначейства по Ярославской области, открытый для учета операций со средствами местного бюджета.</w:t>
      </w:r>
    </w:p>
    <w:p w:rsidR="00554374" w:rsidRPr="00FD3297" w:rsidRDefault="00554374" w:rsidP="004C3B97">
      <w:pPr>
        <w:contextualSpacing/>
        <w:jc w:val="both"/>
        <w:rPr>
          <w:rFonts w:cs="Times New Roman"/>
          <w:sz w:val="27"/>
          <w:szCs w:val="27"/>
        </w:rPr>
      </w:pPr>
      <w:r w:rsidRPr="00FD3297">
        <w:rPr>
          <w:rFonts w:cs="Times New Roman"/>
          <w:sz w:val="27"/>
          <w:szCs w:val="27"/>
        </w:rPr>
        <w:t>Условиями предоставления иных межбюджетных трансфертов являются:</w:t>
      </w:r>
    </w:p>
    <w:p w:rsidR="00554374" w:rsidRPr="00FD3297" w:rsidRDefault="00554374" w:rsidP="004C3B97">
      <w:pPr>
        <w:contextualSpacing/>
        <w:jc w:val="both"/>
        <w:rPr>
          <w:rFonts w:cs="Times New Roman"/>
          <w:sz w:val="27"/>
          <w:szCs w:val="27"/>
        </w:rPr>
      </w:pPr>
      <w:r w:rsidRPr="00FD3297">
        <w:rPr>
          <w:rFonts w:cs="Times New Roman"/>
          <w:sz w:val="27"/>
          <w:szCs w:val="27"/>
        </w:rPr>
        <w:t>-</w:t>
      </w:r>
      <w:r w:rsidRPr="00FD3297">
        <w:rPr>
          <w:sz w:val="27"/>
          <w:szCs w:val="27"/>
        </w:rPr>
        <w:t> </w:t>
      </w:r>
      <w:r w:rsidRPr="00FD3297">
        <w:rPr>
          <w:rFonts w:cs="Times New Roman"/>
          <w:sz w:val="27"/>
          <w:szCs w:val="27"/>
        </w:rPr>
        <w:t>заключение соглашения в соответствии с данным пунктом;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 xml:space="preserve">- выписка из решения о бюджете муниципального образования области (сводной бюджетной росписи), подтверждающая наличие бюджетных ассигнований на исполнение соответствующего расходного обязательства </w:t>
      </w:r>
      <w:r w:rsidRPr="00FD3297">
        <w:rPr>
          <w:sz w:val="27"/>
          <w:szCs w:val="27"/>
        </w:rPr>
        <w:t>органа местного самоуправления</w:t>
      </w:r>
      <w:r w:rsidRPr="00FD3297">
        <w:rPr>
          <w:rFonts w:cs="Times New Roman"/>
          <w:sz w:val="27"/>
          <w:szCs w:val="27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программы;</w:t>
      </w:r>
    </w:p>
    <w:p w:rsidR="00554374" w:rsidRPr="00FD3297" w:rsidRDefault="00554374" w:rsidP="004C3B97">
      <w:pPr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</w:rPr>
        <w:t>- наличие муниципальной программы, на финансирование мероприятий которой предоставляется иной межбюджетный трансферт.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5. Размер иного межбюджетного трансферта, предоставляемого бюджету соответствующего муниципального образования области (V</w:t>
      </w:r>
      <w:r w:rsidRPr="00FD3297">
        <w:rPr>
          <w:rFonts w:cs="Times New Roman"/>
          <w:sz w:val="27"/>
          <w:szCs w:val="27"/>
          <w:vertAlign w:val="subscript"/>
          <w:lang w:eastAsia="ru-RU"/>
        </w:rPr>
        <w:t>i</w:t>
      </w:r>
      <w:r w:rsidRPr="00FD3297">
        <w:rPr>
          <w:rFonts w:cs="Times New Roman"/>
          <w:sz w:val="27"/>
          <w:szCs w:val="27"/>
          <w:lang w:eastAsia="ru-RU"/>
        </w:rPr>
        <w:t>), рассчитывается по формуле: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noProof/>
          <w:sz w:val="27"/>
          <w:szCs w:val="27"/>
          <w:lang w:eastAsia="ru-RU"/>
        </w:rPr>
        <w:drawing>
          <wp:inline distT="0" distB="0" distL="0" distR="0">
            <wp:extent cx="1405890" cy="344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4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где: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K</w:t>
      </w:r>
      <w:r w:rsidRPr="00FD3297">
        <w:rPr>
          <w:rFonts w:cs="Times New Roman"/>
          <w:sz w:val="27"/>
          <w:szCs w:val="27"/>
          <w:vertAlign w:val="subscript"/>
          <w:lang w:eastAsia="ru-RU"/>
        </w:rPr>
        <w:t>i</w:t>
      </w:r>
      <w:r w:rsidRPr="00FD3297">
        <w:rPr>
          <w:rFonts w:cs="Times New Roman"/>
          <w:sz w:val="27"/>
          <w:szCs w:val="27"/>
          <w:lang w:eastAsia="ru-RU"/>
        </w:rPr>
        <w:t xml:space="preserve"> – количество виртуальных концертных залов, создаваемых в муниципальном образовании в соответствии с результатами конкурсного отбора;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R</w:t>
      </w:r>
      <w:r w:rsidRPr="00FD3297">
        <w:rPr>
          <w:rFonts w:cs="Times New Roman"/>
          <w:sz w:val="27"/>
          <w:szCs w:val="27"/>
          <w:vertAlign w:val="subscript"/>
          <w:lang w:eastAsia="ru-RU"/>
        </w:rPr>
        <w:t>i</w:t>
      </w:r>
      <w:r w:rsidRPr="00FD3297">
        <w:rPr>
          <w:rFonts w:cs="Times New Roman"/>
          <w:sz w:val="27"/>
          <w:szCs w:val="27"/>
          <w:lang w:eastAsia="ru-RU"/>
        </w:rPr>
        <w:t xml:space="preserve"> – объем средств, выделяемых из федерального бюджета на создание виртуальных концертных залов в соответствии с результатами конкурсного отбора. </w:t>
      </w:r>
    </w:p>
    <w:p w:rsidR="00554374" w:rsidRPr="00FD3297" w:rsidRDefault="00554374" w:rsidP="004C3B97">
      <w:pPr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6. Распределение иных межбюджетных трансфертов между муниципальными образованиями области утверждается законом Ярославской области об областном бюджете.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 xml:space="preserve">7. Иные межбюджетные трансферты расходуются в полном объеме путем предоставления муниципальными образованиями области субсидий на иные </w:t>
      </w:r>
      <w:r w:rsidRPr="00FD3297">
        <w:rPr>
          <w:rFonts w:cs="Times New Roman"/>
          <w:sz w:val="27"/>
          <w:szCs w:val="27"/>
          <w:lang w:eastAsia="ru-RU"/>
        </w:rPr>
        <w:lastRenderedPageBreak/>
        <w:t>цели учреждениям культуры.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Направления расходов: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- за счет иных межбюджетных трансфертов: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приобретение технического и технологического оборудования, необходимого для оснащения виртуальных концертных залов, включая его доставку, монтаж (демонтаж), погрузочно-разгрузочные работы;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обеспечение виртуальных концертных залов сценическими конструкциями и конструктивными элементами, включая приобретение, изготовление, монтаж (демонтаж) и доставку таких конструкций и элементов.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Результатом использования иного межбюджетного трансферта является количество созданных виртуальных концертных залов.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8. Органы местного самоуправления муниципальных образований области представляют отчеты: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8.1. В государственной интегрированной информационной системе управления общественными финансами «Электронный бюджет»: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- о расходах бюджета, в целях которых предоставляется иной межбюджетный трансферт,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 получен иной межбюджетный трансферт (нарастающим итогом);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- о достижении значений результата использования иного межбюджетного трансферта по форме согласно приложению к соглашению, являющемуся неотъемлемой частью соглашения, не позднее 10 января года, следующего за годом предоставления иного межбюджетного трансферта.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Calibri" w:cs="Times New Roman"/>
          <w:sz w:val="27"/>
          <w:szCs w:val="27"/>
        </w:rPr>
      </w:pPr>
      <w:r w:rsidRPr="00FD3297">
        <w:rPr>
          <w:rFonts w:cs="Times New Roman"/>
          <w:sz w:val="27"/>
          <w:szCs w:val="27"/>
          <w:lang w:eastAsia="ru-RU"/>
        </w:rPr>
        <w:t>8.2. </w:t>
      </w:r>
      <w:bookmarkStart w:id="1" w:name="sub_1410"/>
      <w:r w:rsidRPr="00FD3297">
        <w:rPr>
          <w:rFonts w:eastAsiaTheme="minorEastAsia" w:cs="Times New Roman"/>
          <w:sz w:val="27"/>
          <w:szCs w:val="27"/>
          <w:lang w:eastAsia="ru-RU"/>
        </w:rPr>
        <w:t xml:space="preserve">В отдел исполнения бюджета </w:t>
      </w:r>
      <w:r w:rsidRPr="00FD3297">
        <w:rPr>
          <w:rFonts w:eastAsia="Calibri" w:cs="Times New Roman"/>
          <w:sz w:val="27"/>
          <w:szCs w:val="27"/>
        </w:rPr>
        <w:t>департамента (на бумажном носителе):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 w:rsidRPr="00FD3297">
        <w:rPr>
          <w:rFonts w:eastAsia="Calibri" w:cs="Times New Roman"/>
          <w:sz w:val="27"/>
          <w:szCs w:val="27"/>
        </w:rPr>
        <w:t>- </w:t>
      </w:r>
      <w:r w:rsidRPr="00FD3297">
        <w:rPr>
          <w:sz w:val="27"/>
          <w:szCs w:val="27"/>
        </w:rPr>
        <w:t xml:space="preserve">ежеквартальный отчет об использовании иного межбюджетного трансферта по </w:t>
      </w:r>
      <w:hyperlink r:id="rId10" w:tooltip="&lt;Письмо&gt; Казначейства России от 03.03.2010 N 42-7.4-05/2.1-127 &lt;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" w:history="1">
        <w:r w:rsidRPr="00FD3297">
          <w:rPr>
            <w:sz w:val="27"/>
            <w:szCs w:val="27"/>
          </w:rPr>
          <w:t>форме 0503324</w:t>
        </w:r>
      </w:hyperlink>
      <w:r w:rsidRPr="00FD3297">
        <w:rPr>
          <w:sz w:val="27"/>
          <w:szCs w:val="27"/>
        </w:rPr>
        <w:t xml:space="preserve">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 42-7.4-05/2.1-704 начиная с квартала предоставления иного межбюджетного трансферта до 05 числа месяца, следующего за кварталом, в котором получен иной межбюджетный трансферт (нарастающим итогом); 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 w:rsidRPr="00FD3297">
        <w:rPr>
          <w:sz w:val="27"/>
          <w:szCs w:val="27"/>
        </w:rPr>
        <w:t xml:space="preserve">- годовой отчет об использовании иного межбюджетного трансферта по </w:t>
      </w:r>
      <w:hyperlink r:id="rId11" w:tooltip="&lt;Письмо&gt; Казначейства России от 03.03.2010 N 42-7.4-05/2.1-127 &lt;О порядке составления и представления финансовыми органами субъектов Российской Федерации Отчета об использовании межбюджетных трансфертов из федерального бюджета субъектами Российской Федера" w:history="1">
        <w:r w:rsidRPr="00FD3297">
          <w:rPr>
            <w:sz w:val="27"/>
            <w:szCs w:val="27"/>
          </w:rPr>
          <w:t>форме 0503324</w:t>
        </w:r>
      </w:hyperlink>
      <w:r w:rsidRPr="00FD3297">
        <w:rPr>
          <w:sz w:val="27"/>
          <w:szCs w:val="27"/>
        </w:rPr>
        <w:t xml:space="preserve"> 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 согласно приложению к письму Федерального казначейства от 11 декабря 2012 г. № 42-7.4-05/2.1-704 до 25 декабря года, в котором был получен иной межбюджетный трансферт.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lastRenderedPageBreak/>
        <w:t xml:space="preserve">9. В случае если муниципальным образованием области по состоянию на </w:t>
      </w:r>
      <w:r w:rsidRPr="00FD3297">
        <w:rPr>
          <w:rFonts w:cs="Times New Roman"/>
          <w:sz w:val="27"/>
          <w:szCs w:val="27"/>
        </w:rPr>
        <w:t>10 января года, следующего за годом предоставления</w:t>
      </w:r>
      <w:r w:rsidRPr="00FD3297">
        <w:rPr>
          <w:rFonts w:cs="Times New Roman"/>
          <w:sz w:val="27"/>
          <w:szCs w:val="27"/>
          <w:lang w:eastAsia="ru-RU"/>
        </w:rPr>
        <w:t xml:space="preserve"> иного межбюджетного трансферта, допущены нарушения обязательств по достижению значения результата использования иного межбюджетного трансферта и до 31 декабря года предоставления иного межбюджетного трансферта соответствующие нарушения не устранены, размер средств, подлежащих возврату в доход областного бюджета (V</w:t>
      </w:r>
      <w:r w:rsidRPr="00FD3297">
        <w:rPr>
          <w:rFonts w:cs="Times New Roman"/>
          <w:sz w:val="27"/>
          <w:szCs w:val="27"/>
          <w:vertAlign w:val="subscript"/>
          <w:lang w:eastAsia="ru-RU"/>
        </w:rPr>
        <w:t>возврата</w:t>
      </w:r>
      <w:r w:rsidRPr="00FD3297">
        <w:rPr>
          <w:rFonts w:cs="Times New Roman"/>
          <w:sz w:val="27"/>
          <w:szCs w:val="27"/>
          <w:lang w:eastAsia="ru-RU"/>
        </w:rPr>
        <w:t>), определяется по формуле:</w:t>
      </w:r>
    </w:p>
    <w:bookmarkEnd w:id="1"/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color w:val="000000"/>
          <w:sz w:val="27"/>
          <w:szCs w:val="27"/>
          <w:lang w:eastAsia="ru-RU"/>
        </w:rPr>
      </w:pPr>
      <w:r w:rsidRPr="00FD3297">
        <w:rPr>
          <w:rFonts w:cs="Times New Roman"/>
          <w:color w:val="000000"/>
          <w:sz w:val="27"/>
          <w:szCs w:val="27"/>
          <w:lang w:eastAsia="ru-RU"/>
        </w:rPr>
        <w:t>V</w:t>
      </w:r>
      <w:r w:rsidRPr="00FD3297">
        <w:rPr>
          <w:rFonts w:cs="Times New Roman"/>
          <w:color w:val="000000"/>
          <w:sz w:val="27"/>
          <w:szCs w:val="27"/>
          <w:vertAlign w:val="subscript"/>
          <w:lang w:eastAsia="ru-RU"/>
        </w:rPr>
        <w:t>возврата</w:t>
      </w:r>
      <w:r w:rsidRPr="00FD3297">
        <w:rPr>
          <w:rFonts w:cs="Times New Roman"/>
          <w:color w:val="000000"/>
          <w:sz w:val="27"/>
          <w:szCs w:val="27"/>
          <w:lang w:eastAsia="ru-RU"/>
        </w:rPr>
        <w:t xml:space="preserve"> = V</w:t>
      </w:r>
      <w:r w:rsidRPr="00FD3297">
        <w:rPr>
          <w:rFonts w:cs="Times New Roman"/>
          <w:color w:val="000000"/>
          <w:sz w:val="27"/>
          <w:szCs w:val="27"/>
          <w:vertAlign w:val="subscript"/>
          <w:lang w:eastAsia="ru-RU"/>
        </w:rPr>
        <w:t>тр</w:t>
      </w:r>
      <w:r w:rsidRPr="00FD3297">
        <w:rPr>
          <w:rFonts w:cs="Times New Roman"/>
          <w:color w:val="000000"/>
          <w:sz w:val="27"/>
          <w:szCs w:val="27"/>
          <w:lang w:eastAsia="ru-RU"/>
        </w:rPr>
        <w:t xml:space="preserve"> × (1 – T / S) × 0,1,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где: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V</w:t>
      </w:r>
      <w:r w:rsidRPr="00FD3297">
        <w:rPr>
          <w:rFonts w:cs="Times New Roman"/>
          <w:sz w:val="27"/>
          <w:szCs w:val="27"/>
          <w:vertAlign w:val="subscript"/>
          <w:lang w:eastAsia="ru-RU"/>
        </w:rPr>
        <w:t>тр</w:t>
      </w:r>
      <w:r w:rsidRPr="00FD3297">
        <w:rPr>
          <w:rFonts w:cs="Times New Roman"/>
          <w:sz w:val="27"/>
          <w:szCs w:val="27"/>
          <w:lang w:eastAsia="ru-RU"/>
        </w:rPr>
        <w:t xml:space="preserve"> – размер иного межбюджетного трансферта, предоставленного бюджету муниципального образования;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T – фактически достигнутое значение результата использования иного межбюджетного трансферта на отчетную дату;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S – значение результата использования иного межбюджетного трансферта, установленное соглашением.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bookmarkStart w:id="2" w:name="sub_1411"/>
      <w:r w:rsidRPr="00FD3297">
        <w:rPr>
          <w:rFonts w:cs="Times New Roman"/>
          <w:sz w:val="27"/>
          <w:szCs w:val="27"/>
          <w:lang w:eastAsia="ru-RU"/>
        </w:rPr>
        <w:t>10. При выявлении случаев, указанных в пункте 9 Методики, в срок не позднее 15 марта текущего финансового года департамент направляет в адрес соответствующего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bookmarkStart w:id="3" w:name="sub_1412"/>
      <w:bookmarkEnd w:id="2"/>
      <w:r w:rsidRPr="00FD3297">
        <w:rPr>
          <w:rFonts w:cs="Times New Roman"/>
          <w:sz w:val="27"/>
          <w:szCs w:val="27"/>
          <w:lang w:eastAsia="ru-RU"/>
        </w:rPr>
        <w:t xml:space="preserve">11. Возврат из местного бюджета в доход областного бюджета остатков иных межбюджетных трансфертов, не использованных по состоянию на 01 января текущего финансового года, осуществляется в соответствии с </w:t>
      </w:r>
      <w:hyperlink r:id="rId12" w:history="1">
        <w:r w:rsidRPr="00FD3297">
          <w:rPr>
            <w:rFonts w:cs="Times New Roman"/>
            <w:sz w:val="27"/>
            <w:szCs w:val="27"/>
            <w:lang w:eastAsia="ru-RU"/>
          </w:rPr>
          <w:t>постановлением</w:t>
        </w:r>
      </w:hyperlink>
      <w:r w:rsidRPr="00FD3297">
        <w:rPr>
          <w:rFonts w:cs="Times New Roman"/>
          <w:sz w:val="27"/>
          <w:szCs w:val="27"/>
          <w:lang w:eastAsia="ru-RU"/>
        </w:rPr>
        <w:t xml:space="preserve"> Правительства 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12. Остаток иных межбюджетных трансфертов предоставляется в случае подтверждения наличия в текущем году потребности в остатках иных межбюджетных трансфертов, не использованных по состоянию на 01 января текущего финансового года, в соответствии с постановлением, указанным в пункте 11 Методики, по согласованию с департаментом финансов Ярославской области.</w:t>
      </w:r>
    </w:p>
    <w:bookmarkEnd w:id="3"/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>13. Ответственность за недостоверность представляемых сведений, а также за нецелевое использование иных межбюджетных трансфертов возлагается на органы местного самоуправления муниципальных образований области и учреждения.</w:t>
      </w:r>
    </w:p>
    <w:p w:rsidR="00554374" w:rsidRPr="00FD3297" w:rsidRDefault="00554374" w:rsidP="004C3B97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 w:val="27"/>
          <w:szCs w:val="27"/>
          <w:lang w:eastAsia="ru-RU"/>
        </w:rPr>
      </w:pPr>
      <w:r w:rsidRPr="00FD3297">
        <w:rPr>
          <w:rFonts w:cs="Times New Roman"/>
          <w:sz w:val="27"/>
          <w:szCs w:val="27"/>
          <w:lang w:eastAsia="ru-RU"/>
        </w:rPr>
        <w:t xml:space="preserve">14. Контроль за целевым расходованием иных межбюджетных трансфертов осуществляется в соответствии с действующим законодательством. </w:t>
      </w:r>
    </w:p>
    <w:p w:rsidR="000342DB" w:rsidRPr="00FD3297" w:rsidRDefault="000342DB" w:rsidP="004C3B97">
      <w:pPr>
        <w:contextualSpacing/>
        <w:rPr>
          <w:sz w:val="27"/>
          <w:szCs w:val="27"/>
        </w:rPr>
      </w:pPr>
    </w:p>
    <w:sectPr w:rsidR="000342DB" w:rsidRPr="00FD3297" w:rsidSect="004C3B97">
      <w:headerReference w:type="defaul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19" w:rsidRDefault="004E7319" w:rsidP="00C92617">
      <w:r>
        <w:separator/>
      </w:r>
    </w:p>
  </w:endnote>
  <w:endnote w:type="continuationSeparator" w:id="0">
    <w:p w:rsidR="004E7319" w:rsidRDefault="004E7319" w:rsidP="00C9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19" w:rsidRDefault="004E7319" w:rsidP="00C92617">
      <w:r>
        <w:separator/>
      </w:r>
    </w:p>
  </w:footnote>
  <w:footnote w:type="continuationSeparator" w:id="0">
    <w:p w:rsidR="004E7319" w:rsidRDefault="004E7319" w:rsidP="00C92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943514"/>
    </w:sdtPr>
    <w:sdtEndPr/>
    <w:sdtContent>
      <w:p w:rsidR="00C92617" w:rsidRDefault="00DA4D52">
        <w:pPr>
          <w:pStyle w:val="a5"/>
          <w:jc w:val="center"/>
        </w:pPr>
        <w:r>
          <w:fldChar w:fldCharType="begin"/>
        </w:r>
        <w:r w:rsidR="00C92617">
          <w:instrText>PAGE   \* MERGEFORMAT</w:instrText>
        </w:r>
        <w:r>
          <w:fldChar w:fldCharType="separate"/>
        </w:r>
        <w:r w:rsidR="00550995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8F"/>
    <w:rsid w:val="000342DB"/>
    <w:rsid w:val="001C227D"/>
    <w:rsid w:val="004C3B97"/>
    <w:rsid w:val="004E7319"/>
    <w:rsid w:val="00530EC6"/>
    <w:rsid w:val="00550995"/>
    <w:rsid w:val="00554374"/>
    <w:rsid w:val="0066515E"/>
    <w:rsid w:val="006B50B1"/>
    <w:rsid w:val="00811608"/>
    <w:rsid w:val="009B559B"/>
    <w:rsid w:val="00AF6355"/>
    <w:rsid w:val="00B96FDF"/>
    <w:rsid w:val="00C071BB"/>
    <w:rsid w:val="00C92617"/>
    <w:rsid w:val="00CA1ED1"/>
    <w:rsid w:val="00D5518F"/>
    <w:rsid w:val="00DA4D52"/>
    <w:rsid w:val="00FD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7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374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26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617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C926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617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7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43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374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926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617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C926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61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94ECAC7229D40F154A15DD150A4CC86FF9C6FA802A4673432958ECFB36FBF6D5DD2BB33807A45ECE604CA37EiEl1I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94ECAC7229D40F154A15DD150A4CC86FF9C6FA802A4673432958ECFB36FBF6C7DD73BF3802BA5FC4751AF23BBD961B27F54A5176304BE1iCl3I" TargetMode="External"/><Relationship Id="rId12" Type="http://schemas.openxmlformats.org/officeDocument/2006/relationships/hyperlink" Target="garantF1://45816686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76D079F2E2E91876539FB5158B9BF80085DFAE6896A9901827668CF91FF07C36023FCCBCA772CFA2AF367F29AEE91EEA4F364778DEFA7BDACIF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6D079F2E2E91876539FB5158B9BF80085DFAE6896A9901827668CF91FF07C36023FCCBCA772CFA2AF367F29AEE91EEA4F364778DEFA7BDACIF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Анна Львовна</dc:creator>
  <cp:lastModifiedBy>Молчанова Ольга Петровна</cp:lastModifiedBy>
  <cp:revision>2</cp:revision>
  <dcterms:created xsi:type="dcterms:W3CDTF">2021-11-01T07:29:00Z</dcterms:created>
  <dcterms:modified xsi:type="dcterms:W3CDTF">2021-11-01T07:29:00Z</dcterms:modified>
</cp:coreProperties>
</file>