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E1" w:rsidRPr="000E0F6C" w:rsidRDefault="003E2BE1" w:rsidP="003E2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E0F6C">
        <w:rPr>
          <w:rFonts w:ascii="Times New Roman" w:hAnsi="Times New Roman"/>
          <w:sz w:val="28"/>
          <w:szCs w:val="28"/>
        </w:rPr>
        <w:t xml:space="preserve">Расчеты по налоговым доходам областного бюджета по основным налогам и расчеты по неналоговым доходам областного бюджета </w:t>
      </w:r>
    </w:p>
    <w:p w:rsidR="003E2BE1" w:rsidRPr="000E0F6C" w:rsidRDefault="003E2BE1" w:rsidP="003E2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F6C">
        <w:rPr>
          <w:rFonts w:ascii="Times New Roman" w:hAnsi="Times New Roman"/>
          <w:sz w:val="28"/>
          <w:szCs w:val="28"/>
        </w:rPr>
        <w:t>на 2022 год и плановый период 2023 и 2024 годов</w:t>
      </w:r>
    </w:p>
    <w:p w:rsidR="00140F36" w:rsidRPr="00E64301" w:rsidRDefault="00140F36" w:rsidP="00140F36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9A00FC" w:rsidRDefault="00140F36" w:rsidP="001E77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21B50">
        <w:rPr>
          <w:rFonts w:ascii="Times New Roman" w:eastAsiaTheme="minorHAnsi" w:hAnsi="Times New Roman"/>
          <w:sz w:val="28"/>
          <w:szCs w:val="28"/>
        </w:rPr>
        <w:t>Прогноз поступления в областной бюджет налого</w:t>
      </w:r>
      <w:r w:rsidR="009A00FC">
        <w:rPr>
          <w:rFonts w:ascii="Times New Roman" w:eastAsiaTheme="minorHAnsi" w:hAnsi="Times New Roman"/>
          <w:sz w:val="28"/>
          <w:szCs w:val="28"/>
        </w:rPr>
        <w:t>вых и неналоговых доходов на 2</w:t>
      </w:r>
      <w:r>
        <w:rPr>
          <w:rFonts w:ascii="Times New Roman" w:eastAsiaTheme="minorHAnsi" w:hAnsi="Times New Roman"/>
          <w:sz w:val="28"/>
          <w:szCs w:val="28"/>
        </w:rPr>
        <w:t>022</w:t>
      </w:r>
      <w:r w:rsidRPr="00921B50">
        <w:rPr>
          <w:rFonts w:ascii="Times New Roman" w:eastAsiaTheme="minorHAnsi" w:hAnsi="Times New Roman"/>
          <w:sz w:val="28"/>
          <w:szCs w:val="28"/>
        </w:rPr>
        <w:t xml:space="preserve"> г</w:t>
      </w:r>
      <w:r w:rsidR="00051FF8">
        <w:rPr>
          <w:rFonts w:ascii="Times New Roman" w:eastAsiaTheme="minorHAnsi" w:hAnsi="Times New Roman"/>
          <w:sz w:val="28"/>
          <w:szCs w:val="28"/>
        </w:rPr>
        <w:t>од и плановый период рассчитан</w:t>
      </w:r>
      <w:r w:rsidR="009A00FC">
        <w:rPr>
          <w:rFonts w:ascii="Times New Roman" w:eastAsiaTheme="minorHAnsi" w:hAnsi="Times New Roman"/>
          <w:sz w:val="28"/>
          <w:szCs w:val="28"/>
        </w:rPr>
        <w:t xml:space="preserve"> </w:t>
      </w:r>
      <w:r w:rsidRPr="00921B50">
        <w:rPr>
          <w:rFonts w:ascii="Times New Roman" w:eastAsiaTheme="minorHAnsi" w:hAnsi="Times New Roman"/>
          <w:sz w:val="28"/>
          <w:szCs w:val="28"/>
        </w:rPr>
        <w:t xml:space="preserve"> </w:t>
      </w:r>
      <w:r w:rsidR="009A00FC">
        <w:rPr>
          <w:rFonts w:ascii="Times New Roman" w:eastAsiaTheme="minorHAnsi" w:hAnsi="Times New Roman"/>
          <w:sz w:val="28"/>
          <w:szCs w:val="28"/>
        </w:rPr>
        <w:t xml:space="preserve">на основании показателей </w:t>
      </w:r>
      <w:r w:rsidRPr="00921B50">
        <w:rPr>
          <w:rFonts w:ascii="Times New Roman" w:eastAsiaTheme="minorHAnsi" w:hAnsi="Times New Roman"/>
          <w:sz w:val="28"/>
          <w:szCs w:val="28"/>
        </w:rPr>
        <w:t xml:space="preserve"> консервати</w:t>
      </w:r>
      <w:r w:rsidR="009A00FC">
        <w:rPr>
          <w:rFonts w:ascii="Times New Roman" w:eastAsiaTheme="minorHAnsi" w:hAnsi="Times New Roman"/>
          <w:sz w:val="28"/>
          <w:szCs w:val="28"/>
        </w:rPr>
        <w:t>вного</w:t>
      </w:r>
      <w:r>
        <w:rPr>
          <w:rFonts w:ascii="Times New Roman" w:eastAsiaTheme="minorHAnsi" w:hAnsi="Times New Roman"/>
          <w:sz w:val="28"/>
          <w:szCs w:val="28"/>
        </w:rPr>
        <w:t xml:space="preserve"> вариант</w:t>
      </w:r>
      <w:r w:rsidR="000E0F6C">
        <w:rPr>
          <w:rFonts w:ascii="Times New Roman" w:eastAsiaTheme="minorHAnsi" w:hAnsi="Times New Roman"/>
          <w:sz w:val="28"/>
          <w:szCs w:val="28"/>
        </w:rPr>
        <w:t>а прогноза социально</w:t>
      </w:r>
      <w:r w:rsidR="000E0F6C" w:rsidRPr="000E0F6C">
        <w:rPr>
          <w:rFonts w:ascii="Times New Roman" w:eastAsiaTheme="minorHAnsi" w:hAnsi="Times New Roman"/>
          <w:sz w:val="28"/>
          <w:szCs w:val="28"/>
        </w:rPr>
        <w:t>-</w:t>
      </w:r>
      <w:r w:rsidR="009A00FC">
        <w:rPr>
          <w:rFonts w:ascii="Times New Roman" w:eastAsiaTheme="minorHAnsi" w:hAnsi="Times New Roman"/>
          <w:sz w:val="28"/>
          <w:szCs w:val="28"/>
        </w:rPr>
        <w:t>экономического развития Яро</w:t>
      </w:r>
      <w:r w:rsidR="00487015">
        <w:rPr>
          <w:rFonts w:ascii="Times New Roman" w:eastAsiaTheme="minorHAnsi" w:hAnsi="Times New Roman"/>
          <w:sz w:val="28"/>
          <w:szCs w:val="28"/>
        </w:rPr>
        <w:t xml:space="preserve">славской области (далее </w:t>
      </w:r>
      <w:r w:rsidR="000E0F6C" w:rsidRPr="000E0F6C">
        <w:rPr>
          <w:rFonts w:ascii="Times New Roman" w:eastAsiaTheme="minorHAnsi" w:hAnsi="Times New Roman"/>
          <w:sz w:val="28"/>
          <w:szCs w:val="28"/>
        </w:rPr>
        <w:t xml:space="preserve">– </w:t>
      </w:r>
      <w:r w:rsidR="00487015">
        <w:rPr>
          <w:rFonts w:ascii="Times New Roman" w:eastAsiaTheme="minorHAnsi" w:hAnsi="Times New Roman"/>
          <w:sz w:val="28"/>
          <w:szCs w:val="28"/>
        </w:rPr>
        <w:t>П</w:t>
      </w:r>
      <w:r w:rsidR="009A00FC">
        <w:rPr>
          <w:rFonts w:ascii="Times New Roman" w:eastAsiaTheme="minorHAnsi" w:hAnsi="Times New Roman"/>
          <w:sz w:val="28"/>
          <w:szCs w:val="28"/>
        </w:rPr>
        <w:t>СЭР ЯО):</w:t>
      </w:r>
    </w:p>
    <w:p w:rsidR="009A00FC" w:rsidRDefault="009A00FC" w:rsidP="001E77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2022 год</w:t>
      </w:r>
      <w:r w:rsidR="000E0F6C" w:rsidRPr="000E0F6C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140F36">
        <w:rPr>
          <w:rFonts w:ascii="Times New Roman" w:eastAsiaTheme="minorHAnsi" w:hAnsi="Times New Roman"/>
          <w:sz w:val="28"/>
          <w:szCs w:val="28"/>
        </w:rPr>
        <w:t>70</w:t>
      </w:r>
      <w:r w:rsidR="00487015">
        <w:rPr>
          <w:rFonts w:ascii="Times New Roman" w:eastAsiaTheme="minorHAnsi" w:hAnsi="Times New Roman"/>
          <w:sz w:val="28"/>
          <w:szCs w:val="28"/>
        </w:rPr>
        <w:t xml:space="preserve"> </w:t>
      </w:r>
      <w:r w:rsidR="001C68C7">
        <w:rPr>
          <w:rFonts w:ascii="Times New Roman" w:eastAsiaTheme="minorHAnsi" w:hAnsi="Times New Roman"/>
          <w:sz w:val="28"/>
          <w:szCs w:val="28"/>
        </w:rPr>
        <w:t>733,1</w:t>
      </w:r>
      <w:r w:rsidR="00140F36" w:rsidRPr="00921B50">
        <w:rPr>
          <w:rFonts w:ascii="Times New Roman" w:eastAsiaTheme="minorHAnsi" w:hAnsi="Times New Roman"/>
          <w:sz w:val="28"/>
          <w:szCs w:val="28"/>
        </w:rPr>
        <w:t xml:space="preserve"> млн.</w:t>
      </w:r>
      <w:r w:rsidR="00487015">
        <w:rPr>
          <w:rFonts w:ascii="Times New Roman" w:eastAsiaTheme="minorHAnsi" w:hAnsi="Times New Roman"/>
          <w:sz w:val="28"/>
          <w:szCs w:val="28"/>
        </w:rPr>
        <w:t xml:space="preserve"> рублей</w:t>
      </w:r>
      <w:r w:rsidR="00140F36" w:rsidRPr="00921B50">
        <w:rPr>
          <w:rFonts w:ascii="Times New Roman" w:eastAsiaTheme="minorHAnsi" w:hAnsi="Times New Roman"/>
          <w:sz w:val="28"/>
          <w:szCs w:val="28"/>
        </w:rPr>
        <w:t>, рост к</w:t>
      </w:r>
      <w:r w:rsidR="00A245F7">
        <w:rPr>
          <w:rFonts w:ascii="Times New Roman" w:eastAsiaTheme="minorHAnsi" w:hAnsi="Times New Roman"/>
          <w:sz w:val="28"/>
          <w:szCs w:val="28"/>
        </w:rPr>
        <w:t xml:space="preserve"> ожидаемому </w:t>
      </w:r>
      <w:r>
        <w:rPr>
          <w:rFonts w:ascii="Times New Roman" w:eastAsiaTheme="minorHAnsi" w:hAnsi="Times New Roman"/>
          <w:sz w:val="28"/>
          <w:szCs w:val="28"/>
        </w:rPr>
        <w:t xml:space="preserve">исполнению </w:t>
      </w:r>
      <w:r w:rsidR="00A245F7">
        <w:rPr>
          <w:rFonts w:ascii="Times New Roman" w:eastAsiaTheme="minorHAnsi" w:hAnsi="Times New Roman"/>
          <w:sz w:val="28"/>
          <w:szCs w:val="28"/>
        </w:rPr>
        <w:t>2021</w:t>
      </w:r>
      <w:r w:rsidR="000E0F6C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A245F7">
        <w:rPr>
          <w:rFonts w:ascii="Times New Roman" w:eastAsiaTheme="minorHAnsi" w:hAnsi="Times New Roman"/>
          <w:sz w:val="28"/>
          <w:szCs w:val="28"/>
        </w:rPr>
        <w:t>г</w:t>
      </w:r>
      <w:r>
        <w:rPr>
          <w:rFonts w:ascii="Times New Roman" w:eastAsiaTheme="minorHAnsi" w:hAnsi="Times New Roman"/>
          <w:sz w:val="28"/>
          <w:szCs w:val="28"/>
        </w:rPr>
        <w:t>ода</w:t>
      </w:r>
      <w:r w:rsidR="00487015">
        <w:rPr>
          <w:rFonts w:ascii="Times New Roman" w:eastAsiaTheme="minorHAnsi" w:hAnsi="Times New Roman"/>
          <w:sz w:val="28"/>
          <w:szCs w:val="28"/>
        </w:rPr>
        <w:t xml:space="preserve"> на </w:t>
      </w:r>
      <w:r w:rsidR="00A245F7">
        <w:rPr>
          <w:rFonts w:ascii="Times New Roman" w:eastAsiaTheme="minorHAnsi" w:hAnsi="Times New Roman"/>
          <w:sz w:val="28"/>
          <w:szCs w:val="28"/>
        </w:rPr>
        <w:t>3,7</w:t>
      </w:r>
      <w:r>
        <w:rPr>
          <w:rFonts w:ascii="Times New Roman" w:eastAsiaTheme="minorHAnsi" w:hAnsi="Times New Roman"/>
          <w:sz w:val="28"/>
          <w:szCs w:val="28"/>
        </w:rPr>
        <w:t>%;</w:t>
      </w:r>
    </w:p>
    <w:p w:rsidR="008E4A8D" w:rsidRDefault="009A00FC" w:rsidP="001E77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2023</w:t>
      </w:r>
      <w:r w:rsidR="00487015">
        <w:rPr>
          <w:rFonts w:ascii="Times New Roman" w:eastAsiaTheme="minorHAnsi" w:hAnsi="Times New Roman"/>
          <w:sz w:val="28"/>
          <w:szCs w:val="28"/>
        </w:rPr>
        <w:t xml:space="preserve"> год – 74 000,0 млн. рублей, рост на </w:t>
      </w:r>
      <w:r w:rsidR="00140F36">
        <w:rPr>
          <w:rFonts w:ascii="Times New Roman" w:eastAsiaTheme="minorHAnsi" w:hAnsi="Times New Roman"/>
          <w:sz w:val="28"/>
          <w:szCs w:val="28"/>
        </w:rPr>
        <w:t xml:space="preserve"> </w:t>
      </w:r>
      <w:r w:rsidR="00487015">
        <w:rPr>
          <w:rFonts w:ascii="Times New Roman" w:eastAsiaTheme="minorHAnsi" w:hAnsi="Times New Roman"/>
          <w:sz w:val="28"/>
          <w:szCs w:val="28"/>
        </w:rPr>
        <w:t>4,6%;</w:t>
      </w:r>
    </w:p>
    <w:p w:rsidR="00487015" w:rsidRDefault="00487015" w:rsidP="001E77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2024 год – 77 767,0 млн. рублей, рост на 5,1%.</w:t>
      </w:r>
    </w:p>
    <w:p w:rsidR="00140F36" w:rsidRDefault="00F7311D" w:rsidP="001E77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Учтены</w:t>
      </w:r>
      <w:r w:rsidR="00140F3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следующие</w:t>
      </w:r>
      <w:r w:rsidR="009A00F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положения</w:t>
      </w:r>
      <w:r w:rsidR="009C53A0">
        <w:rPr>
          <w:rFonts w:ascii="Times New Roman" w:eastAsiaTheme="minorHAnsi" w:hAnsi="Times New Roman"/>
          <w:sz w:val="28"/>
          <w:szCs w:val="28"/>
        </w:rPr>
        <w:t xml:space="preserve"> </w:t>
      </w:r>
      <w:r w:rsidR="00140F36">
        <w:rPr>
          <w:rFonts w:ascii="Times New Roman" w:eastAsiaTheme="minorHAnsi" w:hAnsi="Times New Roman"/>
          <w:sz w:val="28"/>
          <w:szCs w:val="28"/>
        </w:rPr>
        <w:t>федерального бюджетного и налогового законодательства:</w:t>
      </w:r>
    </w:p>
    <w:p w:rsidR="00140F36" w:rsidRPr="00496B66" w:rsidRDefault="00140F36" w:rsidP="003E0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0"/>
          <w:szCs w:val="20"/>
        </w:rPr>
      </w:pPr>
      <w:r w:rsidRPr="0002505B">
        <w:rPr>
          <w:rFonts w:ascii="Times New Roman" w:eastAsiaTheme="minorHAnsi" w:hAnsi="Times New Roman"/>
          <w:sz w:val="28"/>
          <w:szCs w:val="28"/>
        </w:rPr>
        <w:t xml:space="preserve">- </w:t>
      </w:r>
      <w:r w:rsidR="00F7311D">
        <w:rPr>
          <w:rFonts w:ascii="Times New Roman" w:eastAsiaTheme="minorHAnsi" w:hAnsi="Times New Roman"/>
          <w:sz w:val="28"/>
          <w:szCs w:val="28"/>
        </w:rPr>
        <w:t>сокращение</w:t>
      </w:r>
      <w:r w:rsidR="009A00FC">
        <w:rPr>
          <w:rFonts w:ascii="Times New Roman" w:eastAsiaTheme="minorHAnsi" w:hAnsi="Times New Roman"/>
          <w:sz w:val="28"/>
          <w:szCs w:val="28"/>
        </w:rPr>
        <w:t xml:space="preserve"> норматива </w:t>
      </w:r>
      <w:r w:rsidR="00457BBB">
        <w:rPr>
          <w:rFonts w:ascii="Times New Roman" w:eastAsiaTheme="minorHAnsi" w:hAnsi="Times New Roman"/>
          <w:sz w:val="28"/>
          <w:szCs w:val="28"/>
        </w:rPr>
        <w:t>за</w:t>
      </w:r>
      <w:r w:rsidR="009A00FC">
        <w:rPr>
          <w:rFonts w:ascii="Times New Roman" w:eastAsiaTheme="minorHAnsi" w:hAnsi="Times New Roman"/>
          <w:sz w:val="28"/>
          <w:szCs w:val="28"/>
        </w:rPr>
        <w:t xml:space="preserve">числения </w:t>
      </w:r>
      <w:r>
        <w:rPr>
          <w:rFonts w:ascii="Times New Roman" w:eastAsiaTheme="minorHAnsi" w:hAnsi="Times New Roman"/>
          <w:sz w:val="28"/>
          <w:szCs w:val="28"/>
        </w:rPr>
        <w:t>в бюджеты субъектов Р</w:t>
      </w:r>
      <w:r w:rsidR="009A00FC">
        <w:rPr>
          <w:rFonts w:ascii="Times New Roman" w:eastAsiaTheme="minorHAnsi" w:hAnsi="Times New Roman"/>
          <w:sz w:val="28"/>
          <w:szCs w:val="28"/>
        </w:rPr>
        <w:t xml:space="preserve">оссийской </w:t>
      </w:r>
      <w:r>
        <w:rPr>
          <w:rFonts w:ascii="Times New Roman" w:eastAsiaTheme="minorHAnsi" w:hAnsi="Times New Roman"/>
          <w:sz w:val="28"/>
          <w:szCs w:val="28"/>
        </w:rPr>
        <w:t>Ф</w:t>
      </w:r>
      <w:r w:rsidR="009A00FC">
        <w:rPr>
          <w:rFonts w:ascii="Times New Roman" w:eastAsiaTheme="minorHAnsi" w:hAnsi="Times New Roman"/>
          <w:sz w:val="28"/>
          <w:szCs w:val="28"/>
        </w:rPr>
        <w:t>едерации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A00FC">
        <w:rPr>
          <w:rFonts w:ascii="Times New Roman" w:eastAsiaTheme="minorHAnsi" w:hAnsi="Times New Roman"/>
          <w:sz w:val="28"/>
          <w:szCs w:val="28"/>
        </w:rPr>
        <w:t xml:space="preserve">доходов </w:t>
      </w:r>
      <w:r>
        <w:rPr>
          <w:rFonts w:ascii="Times New Roman" w:eastAsiaTheme="minorHAnsi" w:hAnsi="Times New Roman"/>
          <w:sz w:val="28"/>
          <w:szCs w:val="28"/>
        </w:rPr>
        <w:t>от акцизов на нефтепродукты</w:t>
      </w:r>
      <w:r w:rsidR="009A00FC">
        <w:rPr>
          <w:rFonts w:ascii="Times New Roman" w:eastAsiaTheme="minorHAnsi" w:hAnsi="Times New Roman"/>
          <w:sz w:val="28"/>
          <w:szCs w:val="28"/>
        </w:rPr>
        <w:t>.</w:t>
      </w:r>
      <w:r w:rsidR="00457BBB">
        <w:rPr>
          <w:rFonts w:ascii="Times New Roman" w:eastAsiaTheme="minorHAnsi" w:hAnsi="Times New Roman"/>
          <w:sz w:val="28"/>
          <w:szCs w:val="28"/>
        </w:rPr>
        <w:t xml:space="preserve"> </w:t>
      </w:r>
      <w:r w:rsidR="00487015">
        <w:rPr>
          <w:rFonts w:ascii="Times New Roman" w:eastAsiaTheme="minorHAnsi" w:hAnsi="Times New Roman"/>
          <w:sz w:val="28"/>
          <w:szCs w:val="28"/>
        </w:rPr>
        <w:t>Федеральным з</w:t>
      </w:r>
      <w:r w:rsidR="00457BBB">
        <w:rPr>
          <w:rFonts w:ascii="Times New Roman" w:eastAsiaTheme="minorHAnsi" w:hAnsi="Times New Roman"/>
          <w:sz w:val="28"/>
          <w:szCs w:val="28"/>
        </w:rPr>
        <w:t>аконом от 1 июля 2021</w:t>
      </w:r>
      <w:r w:rsidR="000E0F6C" w:rsidRPr="000E0F6C">
        <w:rPr>
          <w:rFonts w:ascii="Times New Roman" w:eastAsiaTheme="minorHAnsi" w:hAnsi="Times New Roman"/>
          <w:sz w:val="28"/>
          <w:szCs w:val="28"/>
        </w:rPr>
        <w:t xml:space="preserve"> </w:t>
      </w:r>
      <w:r w:rsidR="00457BBB">
        <w:rPr>
          <w:rFonts w:ascii="Times New Roman" w:eastAsiaTheme="minorHAnsi" w:hAnsi="Times New Roman"/>
          <w:sz w:val="28"/>
          <w:szCs w:val="28"/>
        </w:rPr>
        <w:t xml:space="preserve">года № 247-ФЗ </w:t>
      </w:r>
      <w:r w:rsidR="00496B66">
        <w:rPr>
          <w:rFonts w:ascii="Times New Roman" w:eastAsiaTheme="minorHAnsi" w:hAnsi="Times New Roman"/>
          <w:sz w:val="28"/>
          <w:szCs w:val="28"/>
        </w:rPr>
        <w:t>«</w:t>
      </w:r>
      <w:r w:rsidR="00496B66" w:rsidRPr="00496B66">
        <w:rPr>
          <w:rFonts w:ascii="Times New Roman" w:eastAsiaTheme="minorHAnsi" w:hAnsi="Times New Roman"/>
          <w:sz w:val="28"/>
          <w:szCs w:val="28"/>
        </w:rPr>
        <w:t xml:space="preserve">О внесении изменений в Федеральный закон </w:t>
      </w:r>
      <w:r w:rsidR="00496B66">
        <w:rPr>
          <w:rFonts w:ascii="Times New Roman" w:eastAsiaTheme="minorHAnsi" w:hAnsi="Times New Roman"/>
          <w:sz w:val="28"/>
          <w:szCs w:val="28"/>
        </w:rPr>
        <w:t>«</w:t>
      </w:r>
      <w:r w:rsidR="00496B66" w:rsidRPr="00496B66">
        <w:rPr>
          <w:rFonts w:ascii="Times New Roman" w:eastAsiaTheme="minorHAnsi" w:hAnsi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</w:t>
      </w:r>
      <w:r w:rsidR="00496B66">
        <w:rPr>
          <w:rFonts w:ascii="Times New Roman" w:eastAsiaTheme="minorHAnsi" w:hAnsi="Times New Roman"/>
          <w:sz w:val="28"/>
          <w:szCs w:val="28"/>
        </w:rPr>
        <w:t>»</w:t>
      </w:r>
      <w:r w:rsidR="00496B66" w:rsidRPr="00496B66">
        <w:rPr>
          <w:rFonts w:ascii="Times New Roman" w:eastAsiaTheme="minorHAnsi" w:hAnsi="Times New Roman"/>
          <w:sz w:val="28"/>
          <w:szCs w:val="28"/>
        </w:rPr>
        <w:t xml:space="preserve"> и отдельные законодательные акты Российской Федерации» </w:t>
      </w:r>
      <w:r w:rsidR="00457BBB">
        <w:rPr>
          <w:rFonts w:ascii="Times New Roman" w:eastAsiaTheme="minorHAnsi" w:hAnsi="Times New Roman"/>
          <w:sz w:val="28"/>
          <w:szCs w:val="28"/>
        </w:rPr>
        <w:t xml:space="preserve">установлен размер норматива 74,9% на 2022 – 2024 годы. </w:t>
      </w:r>
      <w:r>
        <w:rPr>
          <w:rFonts w:ascii="Times New Roman" w:eastAsiaTheme="minorHAnsi" w:hAnsi="Times New Roman"/>
          <w:sz w:val="28"/>
          <w:szCs w:val="28"/>
        </w:rPr>
        <w:t xml:space="preserve">Ранее </w:t>
      </w:r>
      <w:r w:rsidR="00457BBB">
        <w:rPr>
          <w:rFonts w:ascii="Times New Roman" w:eastAsiaTheme="minorHAnsi" w:hAnsi="Times New Roman"/>
          <w:sz w:val="28"/>
          <w:szCs w:val="28"/>
        </w:rPr>
        <w:t xml:space="preserve">действовавший норматив </w:t>
      </w:r>
      <w:r w:rsidRPr="0002505B">
        <w:rPr>
          <w:rFonts w:ascii="Times New Roman" w:eastAsiaTheme="minorHAnsi" w:hAnsi="Times New Roman"/>
          <w:sz w:val="28"/>
          <w:szCs w:val="28"/>
        </w:rPr>
        <w:t>на 2022 год – 83,3%, на 2023 год – 91,6%;</w:t>
      </w:r>
    </w:p>
    <w:p w:rsidR="00140F36" w:rsidRDefault="00140F36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2505B">
        <w:rPr>
          <w:rFonts w:ascii="Times New Roman" w:eastAsiaTheme="minorHAnsi" w:hAnsi="Times New Roman"/>
          <w:sz w:val="28"/>
          <w:szCs w:val="28"/>
        </w:rPr>
        <w:t>-  ставк</w:t>
      </w:r>
      <w:r w:rsidR="009C53A0">
        <w:rPr>
          <w:rFonts w:ascii="Times New Roman" w:eastAsiaTheme="minorHAnsi" w:hAnsi="Times New Roman"/>
          <w:sz w:val="28"/>
          <w:szCs w:val="28"/>
        </w:rPr>
        <w:t>а</w:t>
      </w:r>
      <w:r w:rsidRPr="0002505B">
        <w:rPr>
          <w:rFonts w:ascii="Times New Roman" w:eastAsiaTheme="minorHAnsi" w:hAnsi="Times New Roman"/>
          <w:sz w:val="28"/>
          <w:szCs w:val="28"/>
        </w:rPr>
        <w:t xml:space="preserve">  акциза на пиво  </w:t>
      </w:r>
      <w:r>
        <w:rPr>
          <w:rFonts w:ascii="Times New Roman" w:eastAsiaTheme="minorHAnsi" w:hAnsi="Times New Roman"/>
          <w:sz w:val="28"/>
          <w:szCs w:val="28"/>
        </w:rPr>
        <w:t>на 2022</w:t>
      </w:r>
      <w:r w:rsidR="000E0F6C">
        <w:rPr>
          <w:rFonts w:ascii="Times New Roman" w:eastAsiaTheme="minorHAnsi" w:hAnsi="Times New Roman"/>
          <w:sz w:val="28"/>
          <w:szCs w:val="28"/>
        </w:rPr>
        <w:t xml:space="preserve"> год</w:t>
      </w:r>
      <w:r w:rsidR="000E0F6C" w:rsidRPr="000E0F6C">
        <w:rPr>
          <w:rFonts w:ascii="Times New Roman" w:eastAsiaTheme="minorHAnsi" w:hAnsi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t>24</w:t>
      </w:r>
      <w:r w:rsidRPr="0002505B">
        <w:rPr>
          <w:rFonts w:ascii="Times New Roman" w:eastAsiaTheme="minorHAnsi" w:hAnsi="Times New Roman"/>
          <w:sz w:val="28"/>
          <w:szCs w:val="28"/>
        </w:rPr>
        <w:t xml:space="preserve"> руб. за один литр;</w:t>
      </w:r>
      <w:r>
        <w:rPr>
          <w:rFonts w:ascii="Times New Roman" w:eastAsiaTheme="minorHAnsi" w:hAnsi="Times New Roman"/>
          <w:sz w:val="28"/>
          <w:szCs w:val="28"/>
        </w:rPr>
        <w:t xml:space="preserve"> на 2023</w:t>
      </w:r>
      <w:r w:rsidR="00E75396">
        <w:rPr>
          <w:rFonts w:ascii="Times New Roman" w:eastAsiaTheme="minorHAnsi" w:hAnsi="Times New Roman"/>
          <w:sz w:val="28"/>
          <w:szCs w:val="28"/>
        </w:rPr>
        <w:t> </w:t>
      </w:r>
      <w:r>
        <w:rPr>
          <w:rFonts w:ascii="Times New Roman" w:eastAsiaTheme="minorHAnsi" w:hAnsi="Times New Roman"/>
          <w:sz w:val="28"/>
          <w:szCs w:val="28"/>
        </w:rPr>
        <w:t xml:space="preserve">год – 25 руб. за </w:t>
      </w:r>
      <w:r w:rsidR="009C53A0">
        <w:rPr>
          <w:rFonts w:ascii="Times New Roman" w:eastAsiaTheme="minorHAnsi" w:hAnsi="Times New Roman"/>
          <w:sz w:val="28"/>
          <w:szCs w:val="28"/>
        </w:rPr>
        <w:t xml:space="preserve">один </w:t>
      </w:r>
      <w:r>
        <w:rPr>
          <w:rFonts w:ascii="Times New Roman" w:eastAsiaTheme="minorHAnsi" w:hAnsi="Times New Roman"/>
          <w:sz w:val="28"/>
          <w:szCs w:val="28"/>
        </w:rPr>
        <w:t>литр, на 2024 год – 26</w:t>
      </w:r>
      <w:r w:rsidRPr="0002505B">
        <w:rPr>
          <w:rFonts w:ascii="Times New Roman" w:eastAsiaTheme="minorHAnsi" w:hAnsi="Times New Roman"/>
          <w:sz w:val="28"/>
          <w:szCs w:val="28"/>
        </w:rPr>
        <w:t xml:space="preserve"> руб. за </w:t>
      </w:r>
      <w:r w:rsidR="00E75396">
        <w:rPr>
          <w:rFonts w:ascii="Times New Roman" w:eastAsiaTheme="minorHAnsi" w:hAnsi="Times New Roman"/>
          <w:sz w:val="28"/>
          <w:szCs w:val="28"/>
        </w:rPr>
        <w:t>один</w:t>
      </w:r>
      <w:r w:rsidR="00E75396" w:rsidRPr="0002505B">
        <w:rPr>
          <w:rFonts w:ascii="Times New Roman" w:eastAsiaTheme="minorHAnsi" w:hAnsi="Times New Roman"/>
          <w:sz w:val="28"/>
          <w:szCs w:val="28"/>
        </w:rPr>
        <w:t xml:space="preserve"> </w:t>
      </w:r>
      <w:r w:rsidRPr="0002505B">
        <w:rPr>
          <w:rFonts w:ascii="Times New Roman" w:eastAsiaTheme="minorHAnsi" w:hAnsi="Times New Roman"/>
          <w:sz w:val="28"/>
          <w:szCs w:val="28"/>
        </w:rPr>
        <w:t>литр;</w:t>
      </w:r>
    </w:p>
    <w:p w:rsidR="005247D1" w:rsidRPr="0002505B" w:rsidRDefault="005247D1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увеличени</w:t>
      </w:r>
      <w:r w:rsidR="009C53A0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норматива </w:t>
      </w:r>
      <w:r w:rsidR="009C53A0">
        <w:rPr>
          <w:rFonts w:ascii="Times New Roman" w:eastAsiaTheme="minorHAnsi" w:hAnsi="Times New Roman"/>
          <w:sz w:val="28"/>
          <w:szCs w:val="28"/>
        </w:rPr>
        <w:t>зачисления</w:t>
      </w:r>
      <w:r>
        <w:rPr>
          <w:rFonts w:ascii="Times New Roman" w:eastAsiaTheme="minorHAnsi" w:hAnsi="Times New Roman"/>
          <w:sz w:val="28"/>
          <w:szCs w:val="28"/>
        </w:rPr>
        <w:t xml:space="preserve"> в бюджеты субъектов </w:t>
      </w:r>
      <w:r w:rsidR="009C53A0">
        <w:rPr>
          <w:rFonts w:ascii="Times New Roman" w:eastAsiaTheme="minorHAnsi" w:hAnsi="Times New Roman"/>
          <w:sz w:val="28"/>
          <w:szCs w:val="28"/>
        </w:rPr>
        <w:t>Российской Федерации доходов</w:t>
      </w:r>
      <w:r>
        <w:rPr>
          <w:rFonts w:ascii="Times New Roman" w:eastAsiaTheme="minorHAnsi" w:hAnsi="Times New Roman"/>
          <w:sz w:val="28"/>
          <w:szCs w:val="28"/>
        </w:rPr>
        <w:t xml:space="preserve"> от акцизов на алкогольную продукцию с 80% до 84%</w:t>
      </w:r>
      <w:r w:rsidR="009C53A0">
        <w:rPr>
          <w:rFonts w:ascii="Times New Roman" w:eastAsiaTheme="minorHAnsi" w:hAnsi="Times New Roman"/>
          <w:sz w:val="28"/>
          <w:szCs w:val="28"/>
        </w:rPr>
        <w:t>;</w:t>
      </w:r>
    </w:p>
    <w:p w:rsidR="00140F36" w:rsidRPr="001E778D" w:rsidRDefault="00140F36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2505B">
        <w:rPr>
          <w:rFonts w:ascii="Times New Roman" w:eastAsiaTheme="minorHAnsi" w:hAnsi="Times New Roman"/>
          <w:sz w:val="28"/>
          <w:szCs w:val="28"/>
        </w:rPr>
        <w:t xml:space="preserve">- увеличение норматива </w:t>
      </w:r>
      <w:r w:rsidR="009C53A0">
        <w:rPr>
          <w:rFonts w:ascii="Times New Roman" w:eastAsiaTheme="minorHAnsi" w:hAnsi="Times New Roman"/>
          <w:sz w:val="28"/>
          <w:szCs w:val="28"/>
        </w:rPr>
        <w:t xml:space="preserve">для </w:t>
      </w:r>
      <w:r w:rsidRPr="0002505B">
        <w:rPr>
          <w:rFonts w:ascii="Times New Roman" w:eastAsiaTheme="minorHAnsi" w:hAnsi="Times New Roman"/>
          <w:sz w:val="28"/>
          <w:szCs w:val="28"/>
        </w:rPr>
        <w:t xml:space="preserve">распределения </w:t>
      </w:r>
      <w:r w:rsidR="006613F3">
        <w:rPr>
          <w:rFonts w:ascii="Times New Roman" w:eastAsiaTheme="minorHAnsi" w:hAnsi="Times New Roman"/>
          <w:sz w:val="28"/>
          <w:szCs w:val="28"/>
        </w:rPr>
        <w:t xml:space="preserve">доходов от </w:t>
      </w:r>
      <w:r w:rsidRPr="0002505B">
        <w:rPr>
          <w:rFonts w:ascii="Times New Roman" w:eastAsiaTheme="minorHAnsi" w:hAnsi="Times New Roman"/>
          <w:sz w:val="28"/>
          <w:szCs w:val="28"/>
        </w:rPr>
        <w:t xml:space="preserve">акцизов на алкогольную продукцию </w:t>
      </w:r>
      <w:r w:rsidR="009C53A0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02505B">
        <w:rPr>
          <w:rFonts w:ascii="Times New Roman" w:eastAsiaTheme="minorHAnsi" w:hAnsi="Times New Roman"/>
          <w:sz w:val="28"/>
          <w:szCs w:val="28"/>
        </w:rPr>
        <w:t>бюджет</w:t>
      </w:r>
      <w:r w:rsidR="006613F3">
        <w:rPr>
          <w:rFonts w:ascii="Times New Roman" w:eastAsiaTheme="minorHAnsi" w:hAnsi="Times New Roman"/>
          <w:sz w:val="28"/>
          <w:szCs w:val="28"/>
        </w:rPr>
        <w:t>ы</w:t>
      </w:r>
      <w:r w:rsidRPr="0002505B">
        <w:rPr>
          <w:rFonts w:ascii="Times New Roman" w:eastAsiaTheme="minorHAnsi" w:hAnsi="Times New Roman"/>
          <w:sz w:val="28"/>
          <w:szCs w:val="28"/>
        </w:rPr>
        <w:t xml:space="preserve"> субъектов </w:t>
      </w:r>
      <w:r w:rsidR="009C53A0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r w:rsidRPr="0002505B">
        <w:rPr>
          <w:rFonts w:ascii="Times New Roman" w:eastAsiaTheme="minorHAnsi" w:hAnsi="Times New Roman"/>
          <w:sz w:val="28"/>
          <w:szCs w:val="28"/>
        </w:rPr>
        <w:t xml:space="preserve"> пропорционально объему розничных продаж алкогольной продукции в </w:t>
      </w:r>
      <w:r w:rsidRPr="001E778D">
        <w:rPr>
          <w:rFonts w:ascii="Times New Roman" w:eastAsiaTheme="minorHAnsi" w:hAnsi="Times New Roman"/>
          <w:sz w:val="28"/>
          <w:szCs w:val="28"/>
        </w:rPr>
        <w:t>системе ЕГАИС на 2022</w:t>
      </w:r>
      <w:r w:rsidR="004548D0" w:rsidRPr="001E778D">
        <w:rPr>
          <w:rFonts w:ascii="Times New Roman" w:eastAsiaTheme="minorHAnsi" w:hAnsi="Times New Roman"/>
          <w:sz w:val="28"/>
          <w:szCs w:val="28"/>
        </w:rPr>
        <w:t xml:space="preserve"> год </w:t>
      </w:r>
      <w:r w:rsidR="00440357" w:rsidRPr="001E778D">
        <w:rPr>
          <w:rFonts w:ascii="Times New Roman" w:eastAsiaTheme="minorHAnsi" w:hAnsi="Times New Roman"/>
          <w:sz w:val="28"/>
          <w:szCs w:val="28"/>
        </w:rPr>
        <w:t>с 80% до</w:t>
      </w:r>
      <w:r w:rsidR="003D6747" w:rsidRPr="001E778D">
        <w:rPr>
          <w:rFonts w:ascii="Times New Roman" w:eastAsiaTheme="minorHAnsi" w:hAnsi="Times New Roman"/>
          <w:sz w:val="28"/>
          <w:szCs w:val="28"/>
        </w:rPr>
        <w:t xml:space="preserve"> 90%, на 2023 год – 100%.</w:t>
      </w:r>
    </w:p>
    <w:p w:rsidR="00140F36" w:rsidRPr="001E778D" w:rsidRDefault="00140F36" w:rsidP="001E77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В разрезе доходных источников прогноз поступления следующий.</w:t>
      </w:r>
    </w:p>
    <w:p w:rsidR="00140F36" w:rsidRPr="001E778D" w:rsidRDefault="00F7311D" w:rsidP="001E77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Налог</w:t>
      </w:r>
      <w:r w:rsidR="00140F36" w:rsidRPr="001E778D">
        <w:rPr>
          <w:rFonts w:ascii="Times New Roman" w:eastAsiaTheme="minorHAnsi" w:hAnsi="Times New Roman"/>
          <w:sz w:val="28"/>
          <w:szCs w:val="28"/>
        </w:rPr>
        <w:t xml:space="preserve"> на прибыль </w:t>
      </w:r>
      <w:r w:rsidR="002317E6" w:rsidRPr="001E778D">
        <w:rPr>
          <w:rFonts w:ascii="Times New Roman" w:eastAsiaTheme="minorHAnsi" w:hAnsi="Times New Roman"/>
          <w:sz w:val="28"/>
          <w:szCs w:val="28"/>
        </w:rPr>
        <w:t xml:space="preserve">в 2022 году </w:t>
      </w:r>
      <w:r w:rsidR="004E190D" w:rsidRPr="001E778D">
        <w:rPr>
          <w:rFonts w:ascii="Times New Roman" w:eastAsiaTheme="minorHAnsi" w:hAnsi="Times New Roman"/>
          <w:sz w:val="28"/>
          <w:szCs w:val="28"/>
        </w:rPr>
        <w:t>–</w:t>
      </w:r>
      <w:r w:rsidR="00140F36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="004E190D" w:rsidRPr="001E778D">
        <w:rPr>
          <w:rFonts w:ascii="Times New Roman" w:eastAsiaTheme="minorHAnsi" w:hAnsi="Times New Roman"/>
          <w:sz w:val="28"/>
          <w:szCs w:val="28"/>
        </w:rPr>
        <w:t>22</w:t>
      </w:r>
      <w:r w:rsidR="00ED5280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="00666B66" w:rsidRPr="001E778D">
        <w:rPr>
          <w:rFonts w:ascii="Times New Roman" w:eastAsiaTheme="minorHAnsi" w:hAnsi="Times New Roman"/>
          <w:sz w:val="28"/>
          <w:szCs w:val="28"/>
        </w:rPr>
        <w:t>851,8</w:t>
      </w:r>
      <w:r w:rsidR="004E190D" w:rsidRPr="001E778D">
        <w:rPr>
          <w:rFonts w:ascii="Times New Roman" w:eastAsiaTheme="minorHAnsi" w:hAnsi="Times New Roman"/>
          <w:sz w:val="28"/>
          <w:szCs w:val="28"/>
        </w:rPr>
        <w:t xml:space="preserve"> млн.</w:t>
      </w:r>
      <w:r w:rsidR="0032256C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="004E190D" w:rsidRPr="001E778D">
        <w:rPr>
          <w:rFonts w:ascii="Times New Roman" w:eastAsiaTheme="minorHAnsi" w:hAnsi="Times New Roman"/>
          <w:sz w:val="28"/>
          <w:szCs w:val="28"/>
        </w:rPr>
        <w:t>руб</w:t>
      </w:r>
      <w:r w:rsidR="00FA7035" w:rsidRPr="001E778D">
        <w:rPr>
          <w:rFonts w:ascii="Times New Roman" w:eastAsiaTheme="minorHAnsi" w:hAnsi="Times New Roman"/>
          <w:sz w:val="28"/>
          <w:szCs w:val="28"/>
        </w:rPr>
        <w:t>лей</w:t>
      </w:r>
      <w:r w:rsidR="004E190D" w:rsidRPr="001E778D">
        <w:rPr>
          <w:rFonts w:ascii="Times New Roman" w:eastAsiaTheme="minorHAnsi" w:hAnsi="Times New Roman"/>
          <w:sz w:val="28"/>
          <w:szCs w:val="28"/>
        </w:rPr>
        <w:t>.</w:t>
      </w:r>
    </w:p>
    <w:p w:rsidR="004E190D" w:rsidRPr="004E190D" w:rsidRDefault="004E190D" w:rsidP="001E77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 xml:space="preserve">Для расчета </w:t>
      </w:r>
      <w:r w:rsidR="00ED5280" w:rsidRPr="001E778D">
        <w:rPr>
          <w:rFonts w:ascii="Times New Roman" w:eastAsiaTheme="minorHAnsi" w:hAnsi="Times New Roman"/>
          <w:sz w:val="28"/>
          <w:szCs w:val="28"/>
        </w:rPr>
        <w:t>использованы показатели П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 xml:space="preserve">СЭР ЯО – 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прибыль прибыльных организаций и оценка ожидаемого поступления налога на прибыль в 2021 году в сумме </w:t>
      </w:r>
      <w:r w:rsidRPr="001E778D">
        <w:rPr>
          <w:rFonts w:ascii="Times New Roman" w:eastAsiaTheme="minorHAnsi" w:hAnsi="Times New Roman"/>
          <w:bCs/>
          <w:sz w:val="28"/>
          <w:szCs w:val="28"/>
        </w:rPr>
        <w:t xml:space="preserve">21 972,9 млн. </w:t>
      </w:r>
      <w:r w:rsidRPr="001E778D">
        <w:rPr>
          <w:rFonts w:ascii="Times New Roman" w:eastAsiaTheme="minorHAnsi" w:hAnsi="Times New Roman"/>
          <w:sz w:val="28"/>
          <w:szCs w:val="28"/>
        </w:rPr>
        <w:t>рублей</w:t>
      </w:r>
      <w:r w:rsidRPr="004E190D">
        <w:rPr>
          <w:rFonts w:ascii="Times New Roman" w:eastAsiaTheme="minorHAnsi" w:hAnsi="Times New Roman"/>
          <w:sz w:val="28"/>
          <w:szCs w:val="28"/>
        </w:rPr>
        <w:t>.</w:t>
      </w:r>
    </w:p>
    <w:p w:rsidR="004E190D" w:rsidRPr="004E190D" w:rsidRDefault="004E190D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E190D">
        <w:rPr>
          <w:rFonts w:ascii="Times New Roman" w:eastAsiaTheme="minorHAnsi" w:hAnsi="Times New Roman"/>
          <w:sz w:val="28"/>
          <w:szCs w:val="28"/>
        </w:rPr>
        <w:t xml:space="preserve">В 2022 году темп роста прибыли прибыльных организаций </w:t>
      </w:r>
      <w:r w:rsidR="00E75396">
        <w:rPr>
          <w:rFonts w:ascii="Times New Roman" w:eastAsiaTheme="minorHAnsi" w:hAnsi="Times New Roman"/>
          <w:sz w:val="28"/>
          <w:szCs w:val="28"/>
        </w:rPr>
        <w:t xml:space="preserve">Ярославской </w:t>
      </w:r>
      <w:r w:rsidR="007B0B12">
        <w:rPr>
          <w:rFonts w:ascii="Times New Roman" w:eastAsiaTheme="minorHAnsi" w:hAnsi="Times New Roman"/>
          <w:sz w:val="28"/>
          <w:szCs w:val="28"/>
        </w:rPr>
        <w:t xml:space="preserve">области </w:t>
      </w:r>
      <w:r w:rsidR="000E0F6C">
        <w:rPr>
          <w:rFonts w:ascii="Times New Roman" w:eastAsiaTheme="minorHAnsi" w:hAnsi="Times New Roman"/>
          <w:sz w:val="28"/>
          <w:szCs w:val="28"/>
        </w:rPr>
        <w:t>составит 104,0</w:t>
      </w:r>
      <w:r w:rsidR="006613F3">
        <w:rPr>
          <w:rFonts w:ascii="Times New Roman" w:eastAsiaTheme="minorHAnsi" w:hAnsi="Times New Roman"/>
          <w:sz w:val="28"/>
          <w:szCs w:val="28"/>
        </w:rPr>
        <w:t>%</w:t>
      </w:r>
      <w:r w:rsidR="00ED5280">
        <w:rPr>
          <w:rFonts w:ascii="Times New Roman" w:eastAsiaTheme="minorHAnsi" w:hAnsi="Times New Roman"/>
          <w:sz w:val="28"/>
          <w:szCs w:val="28"/>
        </w:rPr>
        <w:t>.</w:t>
      </w:r>
      <w:r w:rsidRPr="004E190D">
        <w:rPr>
          <w:rFonts w:ascii="Times New Roman" w:eastAsiaTheme="minorHAnsi" w:hAnsi="Times New Roman"/>
          <w:sz w:val="28"/>
          <w:szCs w:val="28"/>
        </w:rPr>
        <w:t xml:space="preserve"> </w:t>
      </w:r>
      <w:r w:rsidR="000E0F6C">
        <w:rPr>
          <w:rFonts w:ascii="Times New Roman" w:eastAsiaTheme="minorHAnsi" w:hAnsi="Times New Roman"/>
          <w:bCs/>
          <w:sz w:val="28"/>
          <w:szCs w:val="28"/>
        </w:rPr>
        <w:t xml:space="preserve">Данный показатель охватывает не полный </w:t>
      </w:r>
      <w:r w:rsidRPr="00ED5280">
        <w:rPr>
          <w:rFonts w:ascii="Times New Roman" w:eastAsiaTheme="minorHAnsi" w:hAnsi="Times New Roman"/>
          <w:bCs/>
          <w:sz w:val="28"/>
          <w:szCs w:val="28"/>
        </w:rPr>
        <w:t>круг налогоплательщиков, так как не включает консолидированные группы налогоплате</w:t>
      </w:r>
      <w:r w:rsidR="000E0F6C">
        <w:rPr>
          <w:rFonts w:ascii="Times New Roman" w:eastAsiaTheme="minorHAnsi" w:hAnsi="Times New Roman"/>
          <w:bCs/>
          <w:sz w:val="28"/>
          <w:szCs w:val="28"/>
        </w:rPr>
        <w:t xml:space="preserve">льщиков и филиалы вертикально </w:t>
      </w:r>
      <w:r w:rsidRPr="00ED5280">
        <w:rPr>
          <w:rFonts w:ascii="Times New Roman" w:eastAsiaTheme="minorHAnsi" w:hAnsi="Times New Roman"/>
          <w:bCs/>
          <w:sz w:val="28"/>
          <w:szCs w:val="28"/>
        </w:rPr>
        <w:t>интегрированных компаний, формирующих единую статистическую отчетность на территории других субъектов Российской Федерации.</w:t>
      </w:r>
      <w:r w:rsidR="007B0B12">
        <w:rPr>
          <w:rFonts w:ascii="Times New Roman" w:eastAsiaTheme="minorHAnsi" w:hAnsi="Times New Roman"/>
          <w:bCs/>
          <w:sz w:val="28"/>
          <w:szCs w:val="28"/>
        </w:rPr>
        <w:t xml:space="preserve"> В</w:t>
      </w:r>
      <w:r w:rsidR="000E0F6C">
        <w:rPr>
          <w:rFonts w:ascii="Times New Roman" w:eastAsiaTheme="minorHAnsi" w:hAnsi="Times New Roman"/>
          <w:bCs/>
          <w:sz w:val="28"/>
          <w:szCs w:val="28"/>
        </w:rPr>
        <w:t xml:space="preserve"> целом по Российской</w:t>
      </w:r>
      <w:r w:rsidR="000E0F6C">
        <w:rPr>
          <w:rFonts w:ascii="Times New Roman" w:eastAsiaTheme="minorHAnsi" w:hAnsi="Times New Roman"/>
          <w:bCs/>
          <w:sz w:val="28"/>
          <w:szCs w:val="28"/>
        </w:rPr>
        <w:tab/>
        <w:t xml:space="preserve"> Федерации </w:t>
      </w:r>
      <w:r w:rsidR="007B0B12">
        <w:rPr>
          <w:rFonts w:ascii="Times New Roman" w:eastAsiaTheme="minorHAnsi" w:hAnsi="Times New Roman"/>
          <w:bCs/>
          <w:sz w:val="28"/>
          <w:szCs w:val="28"/>
        </w:rPr>
        <w:t xml:space="preserve">темп роста прибыли прибыльных организаций в 2022 </w:t>
      </w:r>
      <w:r w:rsidR="000E0F6C">
        <w:rPr>
          <w:rFonts w:ascii="Times New Roman" w:eastAsiaTheme="minorHAnsi" w:hAnsi="Times New Roman"/>
          <w:bCs/>
          <w:sz w:val="28"/>
          <w:szCs w:val="28"/>
        </w:rPr>
        <w:t xml:space="preserve">году </w:t>
      </w:r>
      <w:r w:rsidR="00156013">
        <w:rPr>
          <w:rFonts w:ascii="Times New Roman" w:eastAsiaTheme="minorHAnsi" w:hAnsi="Times New Roman"/>
          <w:bCs/>
          <w:sz w:val="28"/>
          <w:szCs w:val="28"/>
        </w:rPr>
        <w:t>при консервативном варианте развития</w:t>
      </w:r>
      <w:r w:rsidR="000E0F6C">
        <w:rPr>
          <w:rFonts w:ascii="Times New Roman" w:eastAsiaTheme="minorHAnsi" w:hAnsi="Times New Roman"/>
          <w:bCs/>
          <w:sz w:val="28"/>
          <w:szCs w:val="28"/>
        </w:rPr>
        <w:t xml:space="preserve"> составит </w:t>
      </w:r>
      <w:r w:rsidR="00156013">
        <w:rPr>
          <w:rFonts w:ascii="Times New Roman" w:eastAsiaTheme="minorHAnsi" w:hAnsi="Times New Roman"/>
          <w:bCs/>
          <w:sz w:val="28"/>
          <w:szCs w:val="28"/>
        </w:rPr>
        <w:t>102,6%.</w:t>
      </w:r>
    </w:p>
    <w:p w:rsidR="004E190D" w:rsidRPr="004E190D" w:rsidRDefault="004E190D" w:rsidP="001E77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E190D">
        <w:rPr>
          <w:rFonts w:ascii="Times New Roman" w:eastAsiaTheme="minorHAnsi" w:hAnsi="Times New Roman"/>
          <w:sz w:val="28"/>
          <w:szCs w:val="28"/>
        </w:rPr>
        <w:t>Расчет поступления налога в 2022 году:</w:t>
      </w:r>
    </w:p>
    <w:p w:rsidR="004E190D" w:rsidRPr="004E190D" w:rsidRDefault="004E190D" w:rsidP="001E77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E190D">
        <w:rPr>
          <w:rFonts w:ascii="Times New Roman" w:eastAsiaTheme="minorHAnsi" w:hAnsi="Times New Roman"/>
          <w:sz w:val="28"/>
          <w:szCs w:val="28"/>
        </w:rPr>
        <w:lastRenderedPageBreak/>
        <w:t>21 972</w:t>
      </w:r>
      <w:r w:rsidR="00ED5280">
        <w:rPr>
          <w:rFonts w:ascii="Times New Roman" w:eastAsiaTheme="minorHAnsi" w:hAnsi="Times New Roman"/>
          <w:sz w:val="28"/>
          <w:szCs w:val="28"/>
        </w:rPr>
        <w:t>,9 * 104,0% = 22 851,8 млн. рублей.</w:t>
      </w:r>
    </w:p>
    <w:p w:rsidR="004E190D" w:rsidRPr="004E190D" w:rsidRDefault="004E190D" w:rsidP="001E77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E190D">
        <w:rPr>
          <w:rFonts w:ascii="Times New Roman" w:eastAsiaTheme="minorHAnsi" w:hAnsi="Times New Roman"/>
          <w:sz w:val="28"/>
          <w:szCs w:val="28"/>
        </w:rPr>
        <w:t>Прогноз поступления налога:</w:t>
      </w:r>
    </w:p>
    <w:p w:rsidR="004E190D" w:rsidRPr="004E190D" w:rsidRDefault="004E190D" w:rsidP="001E77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E190D">
        <w:rPr>
          <w:rFonts w:ascii="Times New Roman" w:eastAsiaTheme="minorHAnsi" w:hAnsi="Times New Roman"/>
          <w:sz w:val="28"/>
          <w:szCs w:val="28"/>
        </w:rPr>
        <w:t xml:space="preserve">- </w:t>
      </w:r>
      <w:r w:rsidR="00ED5280">
        <w:rPr>
          <w:rFonts w:ascii="Times New Roman" w:eastAsiaTheme="minorHAnsi" w:hAnsi="Times New Roman"/>
          <w:sz w:val="28"/>
          <w:szCs w:val="28"/>
        </w:rPr>
        <w:t>в 2023 году – 23 766,0 млн. рублей</w:t>
      </w:r>
      <w:r w:rsidRPr="004E190D">
        <w:rPr>
          <w:rFonts w:ascii="Times New Roman" w:eastAsiaTheme="minorHAnsi" w:hAnsi="Times New Roman"/>
          <w:sz w:val="28"/>
          <w:szCs w:val="28"/>
        </w:rPr>
        <w:t xml:space="preserve">, темп роста прибыли </w:t>
      </w:r>
      <w:r w:rsidR="000E0F6C">
        <w:rPr>
          <w:rFonts w:ascii="Times New Roman" w:eastAsiaTheme="minorHAnsi" w:hAnsi="Times New Roman"/>
          <w:sz w:val="28"/>
          <w:szCs w:val="28"/>
        </w:rPr>
        <w:t xml:space="preserve">прибыльных организаций – </w:t>
      </w:r>
      <w:r w:rsidR="00F93D4D">
        <w:rPr>
          <w:rFonts w:ascii="Times New Roman" w:eastAsiaTheme="minorHAnsi" w:hAnsi="Times New Roman"/>
          <w:sz w:val="28"/>
          <w:szCs w:val="28"/>
        </w:rPr>
        <w:t>110,3%;</w:t>
      </w:r>
    </w:p>
    <w:p w:rsidR="004E190D" w:rsidRPr="001E778D" w:rsidRDefault="004E190D" w:rsidP="001E778D">
      <w:pPr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 xml:space="preserve">- 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 xml:space="preserve">в 2024 году – </w:t>
      </w:r>
      <w:r w:rsidR="00ED5280" w:rsidRPr="001E778D">
        <w:rPr>
          <w:rFonts w:ascii="Times New Roman" w:eastAsiaTheme="minorHAnsi" w:hAnsi="Times New Roman"/>
          <w:sz w:val="28"/>
          <w:szCs w:val="28"/>
        </w:rPr>
        <w:t>25 310,8 млн. рублей</w:t>
      </w:r>
      <w:r w:rsidRPr="001E778D">
        <w:rPr>
          <w:rFonts w:ascii="Times New Roman" w:eastAsiaTheme="minorHAnsi" w:hAnsi="Times New Roman"/>
          <w:sz w:val="28"/>
          <w:szCs w:val="28"/>
        </w:rPr>
        <w:t>, при темпе роста прибыли при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 xml:space="preserve">быльных организаций – </w:t>
      </w:r>
      <w:r w:rsidRPr="001E778D">
        <w:rPr>
          <w:rFonts w:ascii="Times New Roman" w:eastAsiaTheme="minorHAnsi" w:hAnsi="Times New Roman"/>
          <w:sz w:val="28"/>
          <w:szCs w:val="28"/>
        </w:rPr>
        <w:t>106,5%.</w:t>
      </w:r>
    </w:p>
    <w:p w:rsidR="00F93D4D" w:rsidRPr="001E778D" w:rsidRDefault="00F7311D" w:rsidP="001E77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В прогнозе</w:t>
      </w:r>
      <w:r w:rsidR="00F93D4D" w:rsidRPr="001E778D">
        <w:rPr>
          <w:rFonts w:ascii="Times New Roman" w:eastAsiaTheme="minorHAnsi" w:hAnsi="Times New Roman"/>
          <w:sz w:val="28"/>
          <w:szCs w:val="28"/>
        </w:rPr>
        <w:t xml:space="preserve"> на 2023 и 2024 годы учтена отмена  действия договоров о создании Консолидированных групп налогоплательщиков с 2023 года (Федеральн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>ый закон от 03.08.2018 №</w:t>
      </w:r>
      <w:r w:rsidR="00E75396">
        <w:rPr>
          <w:rFonts w:ascii="Times New Roman" w:eastAsiaTheme="minorHAnsi" w:hAnsi="Times New Roman"/>
          <w:sz w:val="28"/>
          <w:szCs w:val="28"/>
        </w:rPr>
        <w:t xml:space="preserve"> 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>302-ФЗ «</w:t>
      </w:r>
      <w:r w:rsidR="00F93D4D" w:rsidRPr="001E778D">
        <w:rPr>
          <w:rFonts w:ascii="Times New Roman" w:eastAsiaTheme="minorHAnsi" w:hAnsi="Times New Roman"/>
          <w:sz w:val="28"/>
          <w:szCs w:val="28"/>
        </w:rPr>
        <w:t>О внесении изменений в часть первую и вторую Налогового кодекса Российской Федерации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>»</w:t>
      </w:r>
      <w:r w:rsidR="00F93D4D" w:rsidRPr="001E778D">
        <w:rPr>
          <w:rFonts w:ascii="Times New Roman" w:eastAsiaTheme="minorHAnsi" w:hAnsi="Times New Roman"/>
          <w:sz w:val="28"/>
          <w:szCs w:val="28"/>
        </w:rPr>
        <w:t>).</w:t>
      </w:r>
    </w:p>
    <w:p w:rsidR="00140F36" w:rsidRPr="00496B66" w:rsidRDefault="00F7311D" w:rsidP="001E7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778D">
        <w:rPr>
          <w:rFonts w:ascii="Times New Roman" w:hAnsi="Times New Roman"/>
          <w:sz w:val="28"/>
          <w:szCs w:val="28"/>
        </w:rPr>
        <w:t>Налог</w:t>
      </w:r>
      <w:r w:rsidR="00140F36" w:rsidRPr="001E778D">
        <w:rPr>
          <w:rFonts w:ascii="Times New Roman" w:hAnsi="Times New Roman"/>
          <w:sz w:val="28"/>
          <w:szCs w:val="28"/>
        </w:rPr>
        <w:t xml:space="preserve"> на </w:t>
      </w:r>
      <w:r w:rsidR="00140F36" w:rsidRPr="00496B66">
        <w:rPr>
          <w:rFonts w:ascii="Times New Roman" w:hAnsi="Times New Roman"/>
          <w:sz w:val="28"/>
          <w:szCs w:val="28"/>
        </w:rPr>
        <w:t xml:space="preserve">доходы физических лиц в областной бюджет в 2022 году </w:t>
      </w:r>
      <w:r w:rsidR="004E190D" w:rsidRPr="00496B66">
        <w:rPr>
          <w:rFonts w:ascii="Times New Roman" w:hAnsi="Times New Roman"/>
          <w:sz w:val="28"/>
          <w:szCs w:val="28"/>
        </w:rPr>
        <w:t>–</w:t>
      </w:r>
      <w:r w:rsidR="002317E6" w:rsidRPr="00496B66">
        <w:rPr>
          <w:rFonts w:ascii="Times New Roman" w:hAnsi="Times New Roman"/>
          <w:sz w:val="28"/>
          <w:szCs w:val="28"/>
        </w:rPr>
        <w:t xml:space="preserve"> </w:t>
      </w:r>
      <w:r w:rsidR="004E190D" w:rsidRPr="00496B66">
        <w:rPr>
          <w:rFonts w:ascii="Times New Roman" w:hAnsi="Times New Roman"/>
          <w:sz w:val="28"/>
          <w:szCs w:val="28"/>
        </w:rPr>
        <w:t>20</w:t>
      </w:r>
      <w:r w:rsidR="001E778D" w:rsidRPr="00496B66">
        <w:rPr>
          <w:rFonts w:ascii="Times New Roman" w:hAnsi="Times New Roman"/>
          <w:sz w:val="28"/>
          <w:szCs w:val="28"/>
        </w:rPr>
        <w:t> </w:t>
      </w:r>
      <w:r w:rsidR="004E190D" w:rsidRPr="00496B66">
        <w:rPr>
          <w:rFonts w:ascii="Times New Roman" w:hAnsi="Times New Roman"/>
          <w:sz w:val="28"/>
          <w:szCs w:val="28"/>
        </w:rPr>
        <w:t>046,1 млн.</w:t>
      </w:r>
      <w:r w:rsidR="009C6A38" w:rsidRPr="00496B66">
        <w:rPr>
          <w:rFonts w:ascii="Times New Roman" w:hAnsi="Times New Roman"/>
          <w:sz w:val="28"/>
          <w:szCs w:val="28"/>
        </w:rPr>
        <w:t xml:space="preserve"> </w:t>
      </w:r>
      <w:r w:rsidR="004E190D" w:rsidRPr="00496B66">
        <w:rPr>
          <w:rFonts w:ascii="Times New Roman" w:hAnsi="Times New Roman"/>
          <w:sz w:val="28"/>
          <w:szCs w:val="28"/>
        </w:rPr>
        <w:t>руб</w:t>
      </w:r>
      <w:r w:rsidR="009C6A38" w:rsidRPr="00496B66">
        <w:rPr>
          <w:rFonts w:ascii="Times New Roman" w:hAnsi="Times New Roman"/>
          <w:sz w:val="28"/>
          <w:szCs w:val="28"/>
        </w:rPr>
        <w:t>лей</w:t>
      </w:r>
      <w:r w:rsidR="004E190D" w:rsidRPr="00496B66">
        <w:rPr>
          <w:rFonts w:ascii="Times New Roman" w:hAnsi="Times New Roman"/>
          <w:sz w:val="28"/>
          <w:szCs w:val="28"/>
        </w:rPr>
        <w:t>.</w:t>
      </w:r>
    </w:p>
    <w:p w:rsidR="004E190D" w:rsidRPr="00496B66" w:rsidRDefault="004E190D" w:rsidP="001E778D">
      <w:pPr>
        <w:pStyle w:val="ConsPlusNormal"/>
        <w:ind w:firstLine="709"/>
        <w:jc w:val="both"/>
      </w:pPr>
      <w:r w:rsidRPr="00496B66">
        <w:t xml:space="preserve">Расчет произведен исходя из ожидаемого поступления налога в консолидированный бюджет </w:t>
      </w:r>
      <w:r w:rsidR="00E75396">
        <w:t xml:space="preserve">Ярославской </w:t>
      </w:r>
      <w:r w:rsidRPr="00496B66">
        <w:t>области в 2021 году – 27 446,9</w:t>
      </w:r>
      <w:r w:rsidRPr="00496B66">
        <w:rPr>
          <w:lang w:val="en-US"/>
        </w:rPr>
        <w:t> </w:t>
      </w:r>
      <w:r w:rsidRPr="00496B66">
        <w:t>млн. руб</w:t>
      </w:r>
      <w:r w:rsidR="009C6A38" w:rsidRPr="00496B66">
        <w:t>лей</w:t>
      </w:r>
      <w:r w:rsidRPr="00496B66">
        <w:t xml:space="preserve">. </w:t>
      </w:r>
    </w:p>
    <w:p w:rsidR="004E190D" w:rsidRPr="001E778D" w:rsidRDefault="004E190D" w:rsidP="001E778D">
      <w:pPr>
        <w:pStyle w:val="ConsPlusNormal"/>
        <w:ind w:firstLine="709"/>
        <w:jc w:val="both"/>
      </w:pPr>
      <w:r w:rsidRPr="00496B66">
        <w:t xml:space="preserve">В сумме ожидаемого поступления 180 млн. руб. составляют </w:t>
      </w:r>
      <w:r w:rsidRPr="00496B66">
        <w:rPr>
          <w:bCs/>
        </w:rPr>
        <w:t xml:space="preserve">фиксированные авансовые платежи с доходов, полученных физическими </w:t>
      </w:r>
      <w:r w:rsidRPr="001E778D">
        <w:rPr>
          <w:bCs/>
        </w:rPr>
        <w:t>лицами, являющимися иностранными гражданами, осуществляющими трудовую деятельность на основании патента.</w:t>
      </w:r>
    </w:p>
    <w:p w:rsidR="004E190D" w:rsidRPr="001E778D" w:rsidRDefault="004E190D" w:rsidP="001E778D">
      <w:pPr>
        <w:pStyle w:val="ConsPlusNormal"/>
        <w:ind w:firstLine="709"/>
        <w:jc w:val="both"/>
      </w:pPr>
      <w:r w:rsidRPr="001E778D">
        <w:t>В 2022 году фонд начисленной заработной платы по полному кругу организаций по консервативному варианту составит 199 872</w:t>
      </w:r>
      <w:r w:rsidR="00A43D01" w:rsidRPr="001E778D">
        <w:t>,9 млн. рублей</w:t>
      </w:r>
      <w:r w:rsidRPr="001E778D">
        <w:t>, рост к 2021 году на 4,2%.</w:t>
      </w:r>
    </w:p>
    <w:p w:rsidR="004E190D" w:rsidRPr="001E778D" w:rsidRDefault="004E190D" w:rsidP="001E778D">
      <w:pPr>
        <w:pStyle w:val="ConsPlusNormal"/>
        <w:ind w:firstLine="709"/>
        <w:jc w:val="both"/>
      </w:pPr>
      <w:r w:rsidRPr="001E778D">
        <w:t xml:space="preserve">Расчет поступления налога в 2022 году: </w:t>
      </w:r>
    </w:p>
    <w:p w:rsidR="004E190D" w:rsidRPr="001E778D" w:rsidRDefault="004E190D" w:rsidP="00496B6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E778D">
        <w:rPr>
          <w:rFonts w:ascii="Times New Roman" w:hAnsi="Times New Roman"/>
          <w:sz w:val="28"/>
          <w:szCs w:val="28"/>
        </w:rPr>
        <w:t>(27 446,9</w:t>
      </w:r>
      <w:r w:rsidRPr="001E778D">
        <w:rPr>
          <w:rFonts w:ascii="Times New Roman" w:hAnsi="Times New Roman"/>
          <w:sz w:val="28"/>
          <w:szCs w:val="28"/>
          <w:lang w:val="en-US"/>
        </w:rPr>
        <w:t> </w:t>
      </w:r>
      <w:r w:rsidRPr="001E778D">
        <w:rPr>
          <w:rFonts w:ascii="Times New Roman" w:hAnsi="Times New Roman"/>
          <w:sz w:val="28"/>
          <w:szCs w:val="28"/>
        </w:rPr>
        <w:t>– 180) * 70% *104,2%+ (18</w:t>
      </w:r>
      <w:r w:rsidR="000E0F6C" w:rsidRPr="001E778D">
        <w:rPr>
          <w:rFonts w:ascii="Times New Roman" w:hAnsi="Times New Roman"/>
          <w:sz w:val="28"/>
          <w:szCs w:val="28"/>
        </w:rPr>
        <w:t>0</w:t>
      </w:r>
      <w:r w:rsidR="00496B66">
        <w:rPr>
          <w:rFonts w:ascii="Times New Roman" w:hAnsi="Times New Roman"/>
          <w:sz w:val="28"/>
          <w:szCs w:val="28"/>
        </w:rPr>
        <w:t xml:space="preserve"> </w:t>
      </w:r>
      <w:r w:rsidR="000E0F6C" w:rsidRPr="001E778D">
        <w:rPr>
          <w:rFonts w:ascii="Times New Roman" w:hAnsi="Times New Roman"/>
          <w:sz w:val="28"/>
          <w:szCs w:val="28"/>
        </w:rPr>
        <w:t>*</w:t>
      </w:r>
      <w:r w:rsidR="00496B66">
        <w:rPr>
          <w:rFonts w:ascii="Times New Roman" w:hAnsi="Times New Roman"/>
          <w:sz w:val="28"/>
          <w:szCs w:val="28"/>
        </w:rPr>
        <w:t xml:space="preserve"> </w:t>
      </w:r>
      <w:r w:rsidR="000E0F6C" w:rsidRPr="001E778D">
        <w:rPr>
          <w:rFonts w:ascii="Times New Roman" w:hAnsi="Times New Roman"/>
          <w:sz w:val="28"/>
          <w:szCs w:val="28"/>
        </w:rPr>
        <w:t>85%)</w:t>
      </w:r>
      <w:r w:rsidR="00496B66">
        <w:rPr>
          <w:rFonts w:ascii="Times New Roman" w:hAnsi="Times New Roman"/>
          <w:sz w:val="28"/>
          <w:szCs w:val="28"/>
        </w:rPr>
        <w:t xml:space="preserve"> </w:t>
      </w:r>
      <w:r w:rsidR="000E0F6C" w:rsidRPr="001E778D">
        <w:rPr>
          <w:rFonts w:ascii="Times New Roman" w:hAnsi="Times New Roman"/>
          <w:sz w:val="28"/>
          <w:szCs w:val="28"/>
        </w:rPr>
        <w:t>*</w:t>
      </w:r>
      <w:r w:rsidR="00496B66">
        <w:rPr>
          <w:rFonts w:ascii="Times New Roman" w:hAnsi="Times New Roman"/>
          <w:sz w:val="28"/>
          <w:szCs w:val="28"/>
        </w:rPr>
        <w:t xml:space="preserve"> </w:t>
      </w:r>
      <w:r w:rsidR="000E0F6C" w:rsidRPr="001E778D">
        <w:rPr>
          <w:rFonts w:ascii="Times New Roman" w:hAnsi="Times New Roman"/>
          <w:sz w:val="28"/>
          <w:szCs w:val="28"/>
        </w:rPr>
        <w:t>103% =</w:t>
      </w:r>
      <w:r w:rsidR="000E0F6C" w:rsidRPr="00496B66">
        <w:rPr>
          <w:rFonts w:ascii="Times New Roman" w:hAnsi="Times New Roman"/>
          <w:sz w:val="28"/>
          <w:szCs w:val="28"/>
        </w:rPr>
        <w:t xml:space="preserve"> </w:t>
      </w:r>
      <w:r w:rsidR="000E0F6C" w:rsidRPr="001E778D">
        <w:rPr>
          <w:rFonts w:ascii="Times New Roman" w:hAnsi="Times New Roman"/>
          <w:sz w:val="28"/>
          <w:szCs w:val="28"/>
          <w:lang w:val="en-US"/>
        </w:rPr>
        <w:t> </w:t>
      </w:r>
      <w:r w:rsidRPr="001E778D">
        <w:rPr>
          <w:rFonts w:ascii="Times New Roman" w:hAnsi="Times New Roman"/>
          <w:sz w:val="28"/>
          <w:szCs w:val="28"/>
        </w:rPr>
        <w:t>20 046,1</w:t>
      </w:r>
      <w:r w:rsidR="000E0F6C" w:rsidRPr="001E778D">
        <w:rPr>
          <w:rFonts w:ascii="Times New Roman" w:hAnsi="Times New Roman"/>
          <w:sz w:val="28"/>
          <w:szCs w:val="28"/>
          <w:lang w:val="en-US"/>
        </w:rPr>
        <w:t> </w:t>
      </w:r>
      <w:r w:rsidRPr="001E778D">
        <w:rPr>
          <w:rFonts w:ascii="Times New Roman" w:hAnsi="Times New Roman"/>
          <w:sz w:val="28"/>
          <w:szCs w:val="28"/>
        </w:rPr>
        <w:t>млн.</w:t>
      </w:r>
      <w:r w:rsidR="000E0F6C" w:rsidRPr="001E778D">
        <w:rPr>
          <w:rFonts w:ascii="Times New Roman" w:hAnsi="Times New Roman"/>
          <w:sz w:val="28"/>
          <w:szCs w:val="28"/>
        </w:rPr>
        <w:t> </w:t>
      </w:r>
      <w:r w:rsidR="001E778D">
        <w:rPr>
          <w:rFonts w:ascii="Times New Roman" w:hAnsi="Times New Roman"/>
          <w:sz w:val="28"/>
          <w:szCs w:val="28"/>
        </w:rPr>
        <w:t>руб.</w:t>
      </w:r>
      <w:r w:rsidR="00411BB5">
        <w:rPr>
          <w:rFonts w:ascii="Times New Roman" w:hAnsi="Times New Roman"/>
          <w:sz w:val="28"/>
          <w:szCs w:val="28"/>
        </w:rPr>
        <w:t>,</w:t>
      </w:r>
    </w:p>
    <w:p w:rsidR="004E190D" w:rsidRPr="001E778D" w:rsidRDefault="004E190D" w:rsidP="00E753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778D">
        <w:rPr>
          <w:rFonts w:ascii="Times New Roman" w:hAnsi="Times New Roman"/>
          <w:sz w:val="28"/>
          <w:szCs w:val="28"/>
        </w:rPr>
        <w:t>где:</w:t>
      </w:r>
    </w:p>
    <w:p w:rsidR="004E190D" w:rsidRPr="001E778D" w:rsidRDefault="004E190D" w:rsidP="001E7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778D">
        <w:rPr>
          <w:rFonts w:ascii="Times New Roman" w:hAnsi="Times New Roman"/>
          <w:sz w:val="28"/>
          <w:szCs w:val="28"/>
        </w:rPr>
        <w:t>-</w:t>
      </w:r>
      <w:r w:rsidRPr="001E778D">
        <w:rPr>
          <w:rFonts w:ascii="Times New Roman" w:hAnsi="Times New Roman"/>
          <w:sz w:val="28"/>
          <w:szCs w:val="28"/>
          <w:lang w:val="en-US"/>
        </w:rPr>
        <w:t> </w:t>
      </w:r>
      <w:r w:rsidRPr="001E778D">
        <w:rPr>
          <w:rFonts w:ascii="Times New Roman" w:hAnsi="Times New Roman"/>
          <w:sz w:val="28"/>
          <w:szCs w:val="28"/>
        </w:rPr>
        <w:t>70% и 85% – норматив</w:t>
      </w:r>
      <w:r w:rsidR="00D10B26" w:rsidRPr="001E778D">
        <w:rPr>
          <w:rFonts w:ascii="Times New Roman" w:hAnsi="Times New Roman"/>
          <w:sz w:val="28"/>
          <w:szCs w:val="28"/>
        </w:rPr>
        <w:t>ы</w:t>
      </w:r>
      <w:r w:rsidRPr="001E778D">
        <w:rPr>
          <w:rFonts w:ascii="Times New Roman" w:hAnsi="Times New Roman"/>
          <w:sz w:val="28"/>
          <w:szCs w:val="28"/>
        </w:rPr>
        <w:t xml:space="preserve"> зачис</w:t>
      </w:r>
      <w:r w:rsidR="00D10B26" w:rsidRPr="001E778D">
        <w:rPr>
          <w:rFonts w:ascii="Times New Roman" w:hAnsi="Times New Roman"/>
          <w:sz w:val="28"/>
          <w:szCs w:val="28"/>
        </w:rPr>
        <w:t>ления налога в областной бюджет;</w:t>
      </w:r>
    </w:p>
    <w:p w:rsidR="00D10B26" w:rsidRPr="001E778D" w:rsidRDefault="001E778D" w:rsidP="001E7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0F6C" w:rsidRPr="001E778D">
        <w:rPr>
          <w:rFonts w:ascii="Times New Roman" w:hAnsi="Times New Roman"/>
          <w:sz w:val="28"/>
          <w:szCs w:val="28"/>
        </w:rPr>
        <w:t xml:space="preserve">103% – </w:t>
      </w:r>
      <w:r w:rsidR="00D10B26" w:rsidRPr="001E778D">
        <w:rPr>
          <w:rFonts w:ascii="Times New Roman" w:hAnsi="Times New Roman"/>
          <w:sz w:val="28"/>
          <w:szCs w:val="28"/>
        </w:rPr>
        <w:t>средн</w:t>
      </w:r>
      <w:r w:rsidR="000E0F6C" w:rsidRPr="001E778D">
        <w:rPr>
          <w:rFonts w:ascii="Times New Roman" w:hAnsi="Times New Roman"/>
          <w:sz w:val="28"/>
          <w:szCs w:val="28"/>
        </w:rPr>
        <w:t>ий процент роста коэффициента-</w:t>
      </w:r>
      <w:r w:rsidR="00D10B26" w:rsidRPr="001E778D">
        <w:rPr>
          <w:rFonts w:ascii="Times New Roman" w:hAnsi="Times New Roman"/>
          <w:sz w:val="28"/>
          <w:szCs w:val="28"/>
        </w:rPr>
        <w:t>дефлятора, устанавливаемого Минэкономразвития Российской Федерации.</w:t>
      </w:r>
    </w:p>
    <w:p w:rsidR="004E190D" w:rsidRPr="001E778D" w:rsidRDefault="004E190D" w:rsidP="001E7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778D">
        <w:rPr>
          <w:rFonts w:ascii="Times New Roman" w:hAnsi="Times New Roman"/>
          <w:sz w:val="28"/>
          <w:szCs w:val="28"/>
        </w:rPr>
        <w:t>Прогноз поступления налога:</w:t>
      </w:r>
    </w:p>
    <w:p w:rsidR="004E190D" w:rsidRPr="001E778D" w:rsidRDefault="004E190D" w:rsidP="001E7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778D">
        <w:rPr>
          <w:rFonts w:ascii="Times New Roman" w:hAnsi="Times New Roman"/>
          <w:sz w:val="28"/>
          <w:szCs w:val="28"/>
        </w:rPr>
        <w:t xml:space="preserve">- в 2023 году – 20 888,0 млн. руб., при темпе роста фонда начисленной заработной платы по полному кругу организаций 104,2%; </w:t>
      </w:r>
    </w:p>
    <w:p w:rsidR="004E190D" w:rsidRPr="001E778D" w:rsidRDefault="004E190D" w:rsidP="001E7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778D">
        <w:rPr>
          <w:rFonts w:ascii="Times New Roman" w:hAnsi="Times New Roman"/>
          <w:sz w:val="28"/>
          <w:szCs w:val="28"/>
        </w:rPr>
        <w:t>- в 2024 году – 21 932,4 млн. руб., при темпе роста фонда начисленной заработной платы по полному кругу организаций 105,0%.</w:t>
      </w:r>
    </w:p>
    <w:p w:rsidR="00140F36" w:rsidRPr="001E778D" w:rsidRDefault="00140F36" w:rsidP="001E77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Прогноз поступления акцизов:</w:t>
      </w:r>
    </w:p>
    <w:p w:rsidR="00140F36" w:rsidRPr="001E778D" w:rsidRDefault="00140F36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 xml:space="preserve">- в 2022 году </w:t>
      </w:r>
      <w:r w:rsidR="00FF478E" w:rsidRPr="001E778D">
        <w:rPr>
          <w:rFonts w:ascii="Times New Roman" w:eastAsiaTheme="minorHAnsi" w:hAnsi="Times New Roman"/>
          <w:sz w:val="28"/>
          <w:szCs w:val="28"/>
        </w:rPr>
        <w:t>– 14</w:t>
      </w:r>
      <w:r w:rsidR="00865E6A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="00FF478E" w:rsidRPr="001E778D">
        <w:rPr>
          <w:rFonts w:ascii="Times New Roman" w:eastAsiaTheme="minorHAnsi" w:hAnsi="Times New Roman"/>
          <w:sz w:val="28"/>
          <w:szCs w:val="28"/>
        </w:rPr>
        <w:t>746,1</w:t>
      </w:r>
      <w:r w:rsidR="00FA7035" w:rsidRPr="001E778D">
        <w:rPr>
          <w:rFonts w:ascii="Times New Roman" w:eastAsiaTheme="minorHAnsi" w:hAnsi="Times New Roman"/>
          <w:sz w:val="28"/>
          <w:szCs w:val="28"/>
        </w:rPr>
        <w:t xml:space="preserve"> млн. рублей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, рост на </w:t>
      </w:r>
      <w:r w:rsidR="00C62B38" w:rsidRPr="001E778D">
        <w:rPr>
          <w:rFonts w:ascii="Times New Roman" w:eastAsiaTheme="minorHAnsi" w:hAnsi="Times New Roman"/>
          <w:sz w:val="28"/>
          <w:szCs w:val="28"/>
        </w:rPr>
        <w:t>2,0</w:t>
      </w:r>
      <w:r w:rsidRPr="001E778D">
        <w:rPr>
          <w:rFonts w:ascii="Times New Roman" w:eastAsiaTheme="minorHAnsi" w:hAnsi="Times New Roman"/>
          <w:sz w:val="28"/>
          <w:szCs w:val="28"/>
        </w:rPr>
        <w:t>%</w:t>
      </w:r>
      <w:r w:rsidR="0007698D" w:rsidRPr="001E778D">
        <w:rPr>
          <w:rFonts w:ascii="Times New Roman" w:eastAsiaTheme="minorHAnsi" w:hAnsi="Times New Roman"/>
          <w:sz w:val="28"/>
          <w:szCs w:val="28"/>
        </w:rPr>
        <w:t>;</w:t>
      </w:r>
    </w:p>
    <w:p w:rsidR="00140F36" w:rsidRPr="001E778D" w:rsidRDefault="00865E6A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- в 2023 году – 15 451,0</w:t>
      </w:r>
      <w:r w:rsidR="00FA7035" w:rsidRPr="001E778D">
        <w:rPr>
          <w:rFonts w:ascii="Times New Roman" w:eastAsiaTheme="minorHAnsi" w:hAnsi="Times New Roman"/>
          <w:sz w:val="28"/>
          <w:szCs w:val="28"/>
        </w:rPr>
        <w:t xml:space="preserve"> млн. рублей</w:t>
      </w:r>
      <w:r w:rsidR="00140F36" w:rsidRPr="001E778D">
        <w:rPr>
          <w:rFonts w:ascii="Times New Roman" w:eastAsiaTheme="minorHAnsi" w:hAnsi="Times New Roman"/>
          <w:sz w:val="28"/>
          <w:szCs w:val="28"/>
        </w:rPr>
        <w:t xml:space="preserve">, рост на </w:t>
      </w:r>
      <w:r w:rsidRPr="001E778D">
        <w:rPr>
          <w:rFonts w:ascii="Times New Roman" w:eastAsiaTheme="minorHAnsi" w:hAnsi="Times New Roman"/>
          <w:sz w:val="28"/>
          <w:szCs w:val="28"/>
        </w:rPr>
        <w:t>4,8</w:t>
      </w:r>
      <w:r w:rsidR="00140F36" w:rsidRPr="001E778D">
        <w:rPr>
          <w:rFonts w:ascii="Times New Roman" w:eastAsiaTheme="minorHAnsi" w:hAnsi="Times New Roman"/>
          <w:sz w:val="28"/>
          <w:szCs w:val="28"/>
        </w:rPr>
        <w:t>%</w:t>
      </w:r>
      <w:r w:rsidR="0007698D" w:rsidRPr="001E778D">
        <w:rPr>
          <w:rFonts w:ascii="Times New Roman" w:eastAsiaTheme="minorHAnsi" w:hAnsi="Times New Roman"/>
          <w:sz w:val="28"/>
          <w:szCs w:val="28"/>
        </w:rPr>
        <w:t>;</w:t>
      </w:r>
    </w:p>
    <w:p w:rsidR="00140F36" w:rsidRPr="001E778D" w:rsidRDefault="00140F36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- в 2024 году</w:t>
      </w:r>
      <w:r w:rsidR="00865E6A" w:rsidRPr="001E778D">
        <w:rPr>
          <w:rFonts w:ascii="Times New Roman" w:eastAsiaTheme="minorHAnsi" w:hAnsi="Times New Roman"/>
          <w:sz w:val="28"/>
          <w:szCs w:val="28"/>
        </w:rPr>
        <w:t xml:space="preserve"> – 16 131,0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 млн.</w:t>
      </w:r>
      <w:r w:rsidRPr="001E778D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FA7035" w:rsidRPr="001E778D">
        <w:rPr>
          <w:rFonts w:ascii="Times New Roman" w:eastAsiaTheme="minorHAnsi" w:hAnsi="Times New Roman"/>
          <w:sz w:val="28"/>
          <w:szCs w:val="28"/>
        </w:rPr>
        <w:t>рублей</w:t>
      </w:r>
      <w:r w:rsidRPr="001E778D">
        <w:rPr>
          <w:rFonts w:ascii="Times New Roman" w:eastAsiaTheme="minorHAnsi" w:hAnsi="Times New Roman"/>
          <w:sz w:val="28"/>
          <w:szCs w:val="28"/>
        </w:rPr>
        <w:t>, рост на 4</w:t>
      </w:r>
      <w:r w:rsidR="00865E6A" w:rsidRPr="001E778D">
        <w:rPr>
          <w:rFonts w:ascii="Times New Roman" w:eastAsiaTheme="minorHAnsi" w:hAnsi="Times New Roman"/>
          <w:sz w:val="28"/>
          <w:szCs w:val="28"/>
        </w:rPr>
        <w:t>,4</w:t>
      </w:r>
      <w:r w:rsidRPr="001E778D">
        <w:rPr>
          <w:rFonts w:ascii="Times New Roman" w:eastAsiaTheme="minorHAnsi" w:hAnsi="Times New Roman"/>
          <w:sz w:val="28"/>
          <w:szCs w:val="28"/>
        </w:rPr>
        <w:t>%.</w:t>
      </w:r>
      <w:r w:rsidRPr="001E778D">
        <w:rPr>
          <w:rFonts w:ascii="Times New Roman" w:eastAsiaTheme="minorHAnsi" w:hAnsi="Times New Roman"/>
          <w:sz w:val="28"/>
          <w:szCs w:val="28"/>
          <w:lang w:val="en-US"/>
        </w:rPr>
        <w:t> </w:t>
      </w:r>
    </w:p>
    <w:p w:rsidR="00140F36" w:rsidRPr="001E778D" w:rsidRDefault="00140F36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 xml:space="preserve">По видам подакцизной продукции прогноз следующий. </w:t>
      </w:r>
    </w:p>
    <w:p w:rsidR="00F7311D" w:rsidRPr="001E778D" w:rsidRDefault="00F7311D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Акциз</w:t>
      </w:r>
      <w:r w:rsidR="00140F36" w:rsidRPr="001E778D">
        <w:rPr>
          <w:rFonts w:ascii="Times New Roman" w:eastAsiaTheme="minorHAnsi" w:hAnsi="Times New Roman"/>
          <w:sz w:val="28"/>
          <w:szCs w:val="28"/>
        </w:rPr>
        <w:t xml:space="preserve"> на пиво в 2022 году – 6</w:t>
      </w:r>
      <w:r w:rsidR="00865E6A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="00140F36" w:rsidRPr="001E778D">
        <w:rPr>
          <w:rFonts w:ascii="Times New Roman" w:eastAsiaTheme="minorHAnsi" w:hAnsi="Times New Roman"/>
          <w:sz w:val="28"/>
          <w:szCs w:val="28"/>
        </w:rPr>
        <w:t>595,2 млн. руб</w:t>
      </w:r>
      <w:r w:rsidR="00FA7035" w:rsidRPr="001E778D">
        <w:rPr>
          <w:rFonts w:ascii="Times New Roman" w:eastAsiaTheme="minorHAnsi" w:hAnsi="Times New Roman"/>
          <w:sz w:val="28"/>
          <w:szCs w:val="28"/>
        </w:rPr>
        <w:t>лей</w:t>
      </w:r>
      <w:r w:rsidR="00140F36" w:rsidRPr="001E778D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40F36" w:rsidRPr="001E778D" w:rsidRDefault="00140F36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 xml:space="preserve">Расчет произведен исходя из прогнозируемого объема реализации пива, произведенного на территории </w:t>
      </w:r>
      <w:r w:rsidR="00411BB5">
        <w:rPr>
          <w:rFonts w:ascii="Times New Roman" w:eastAsiaTheme="minorHAnsi" w:hAnsi="Times New Roman"/>
          <w:sz w:val="28"/>
          <w:szCs w:val="28"/>
        </w:rPr>
        <w:t xml:space="preserve">Ярославской 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области, </w:t>
      </w:r>
      <w:r w:rsidR="00AF1243" w:rsidRPr="001E778D">
        <w:rPr>
          <w:rFonts w:ascii="Times New Roman" w:eastAsiaTheme="minorHAnsi" w:hAnsi="Times New Roman"/>
          <w:sz w:val="28"/>
          <w:szCs w:val="28"/>
        </w:rPr>
        <w:t>представленного производителями пива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 на 2021 год – 274,8 млн. литров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>,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 и ставки акциза на пиво 24 рубля за </w:t>
      </w:r>
      <w:r w:rsidR="00411BB5">
        <w:rPr>
          <w:rFonts w:ascii="Times New Roman" w:eastAsiaTheme="minorHAnsi" w:hAnsi="Times New Roman"/>
          <w:sz w:val="28"/>
          <w:szCs w:val="28"/>
        </w:rPr>
        <w:t xml:space="preserve">один 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литр. </w:t>
      </w:r>
    </w:p>
    <w:p w:rsidR="00140F36" w:rsidRPr="001E778D" w:rsidRDefault="00140F36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Прогноз поступления акциза:</w:t>
      </w:r>
    </w:p>
    <w:p w:rsidR="00140F36" w:rsidRPr="001E778D" w:rsidRDefault="00140F36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lastRenderedPageBreak/>
        <w:t>- в 2023 году – 6</w:t>
      </w:r>
      <w:r w:rsidR="00865E6A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="00FA7035" w:rsidRPr="001E778D">
        <w:rPr>
          <w:rFonts w:ascii="Times New Roman" w:eastAsiaTheme="minorHAnsi" w:hAnsi="Times New Roman"/>
          <w:sz w:val="28"/>
          <w:szCs w:val="28"/>
        </w:rPr>
        <w:t>859,0 млн. рублей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, ставка 25 руб. за </w:t>
      </w:r>
      <w:r w:rsidR="00411BB5">
        <w:rPr>
          <w:rFonts w:ascii="Times New Roman" w:eastAsiaTheme="minorHAnsi" w:hAnsi="Times New Roman"/>
          <w:sz w:val="28"/>
          <w:szCs w:val="28"/>
        </w:rPr>
        <w:t xml:space="preserve">один </w:t>
      </w:r>
      <w:r w:rsidRPr="001E778D">
        <w:rPr>
          <w:rFonts w:ascii="Times New Roman" w:eastAsiaTheme="minorHAnsi" w:hAnsi="Times New Roman"/>
          <w:sz w:val="28"/>
          <w:szCs w:val="28"/>
        </w:rPr>
        <w:t>литр;</w:t>
      </w:r>
    </w:p>
    <w:p w:rsidR="00140F36" w:rsidRPr="001E778D" w:rsidRDefault="00140F36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- в 2024 году – 7</w:t>
      </w:r>
      <w:r w:rsidR="00865E6A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="00FA7035" w:rsidRPr="001E778D">
        <w:rPr>
          <w:rFonts w:ascii="Times New Roman" w:eastAsiaTheme="minorHAnsi" w:hAnsi="Times New Roman"/>
          <w:sz w:val="28"/>
          <w:szCs w:val="28"/>
        </w:rPr>
        <w:t>133,4 млн.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="00FA7035" w:rsidRPr="001E778D">
        <w:rPr>
          <w:rFonts w:ascii="Times New Roman" w:eastAsiaTheme="minorHAnsi" w:hAnsi="Times New Roman"/>
          <w:sz w:val="28"/>
          <w:szCs w:val="28"/>
        </w:rPr>
        <w:t>рублей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, ставка 26 руб. за </w:t>
      </w:r>
      <w:r w:rsidR="00411BB5">
        <w:rPr>
          <w:rFonts w:ascii="Times New Roman" w:eastAsiaTheme="minorHAnsi" w:hAnsi="Times New Roman"/>
          <w:sz w:val="28"/>
          <w:szCs w:val="28"/>
        </w:rPr>
        <w:t>один литр.</w:t>
      </w:r>
    </w:p>
    <w:p w:rsidR="00CA2717" w:rsidRPr="001E778D" w:rsidRDefault="00F7311D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Акциз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 xml:space="preserve"> на алкогольную продукцию в 2022 году – 1 856,3 млн. рублей.</w:t>
      </w:r>
    </w:p>
    <w:p w:rsidR="00CA2717" w:rsidRPr="001E778D" w:rsidRDefault="00CA2717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 xml:space="preserve">Расчет прогноза произведен на основании показателей, представленных в материалах к проекту </w:t>
      </w:r>
      <w:r w:rsidR="00411BB5">
        <w:rPr>
          <w:rFonts w:ascii="Times New Roman" w:eastAsiaTheme="minorHAnsi" w:hAnsi="Times New Roman"/>
          <w:sz w:val="28"/>
          <w:szCs w:val="28"/>
        </w:rPr>
        <w:t xml:space="preserve">федерального </w:t>
      </w:r>
      <w:r w:rsidRPr="001E778D">
        <w:rPr>
          <w:rFonts w:ascii="Times New Roman" w:eastAsiaTheme="minorHAnsi" w:hAnsi="Times New Roman"/>
          <w:sz w:val="28"/>
          <w:szCs w:val="28"/>
        </w:rPr>
        <w:t>закона «О федеральном бюджете на 2022 год и на плановый период 2023 и 2024 годов».</w:t>
      </w:r>
    </w:p>
    <w:p w:rsidR="00CA2717" w:rsidRPr="001E778D" w:rsidRDefault="00CA2717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Поступление акциза в федеральный бюджет по нормативу отчислен</w:t>
      </w:r>
      <w:r w:rsidR="004A593F" w:rsidRPr="001E778D">
        <w:rPr>
          <w:rFonts w:ascii="Times New Roman" w:eastAsiaTheme="minorHAnsi" w:hAnsi="Times New Roman"/>
          <w:sz w:val="28"/>
          <w:szCs w:val="28"/>
        </w:rPr>
        <w:t>ий 16</w:t>
      </w:r>
      <w:r w:rsidRPr="001E778D">
        <w:rPr>
          <w:rFonts w:ascii="Times New Roman" w:eastAsiaTheme="minorHAnsi" w:hAnsi="Times New Roman"/>
          <w:sz w:val="28"/>
          <w:szCs w:val="28"/>
        </w:rPr>
        <w:t>%</w:t>
      </w:r>
      <w:r w:rsidR="004A593F" w:rsidRPr="001E778D">
        <w:rPr>
          <w:rFonts w:ascii="Times New Roman" w:eastAsiaTheme="minorHAnsi" w:hAnsi="Times New Roman"/>
          <w:sz w:val="28"/>
          <w:szCs w:val="28"/>
        </w:rPr>
        <w:t xml:space="preserve"> прогнозируется в сумме 35</w:t>
      </w:r>
      <w:r w:rsidR="00865E6A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="004A593F" w:rsidRPr="001E778D">
        <w:rPr>
          <w:rFonts w:ascii="Times New Roman" w:eastAsiaTheme="minorHAnsi" w:hAnsi="Times New Roman"/>
          <w:sz w:val="28"/>
          <w:szCs w:val="28"/>
        </w:rPr>
        <w:t>978,6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 млн. рублей, в консолидированный бюджет субъектов Российской Феде</w:t>
      </w:r>
      <w:r w:rsidR="004A593F" w:rsidRPr="001E778D">
        <w:rPr>
          <w:rFonts w:ascii="Times New Roman" w:eastAsiaTheme="minorHAnsi" w:hAnsi="Times New Roman"/>
          <w:sz w:val="28"/>
          <w:szCs w:val="28"/>
        </w:rPr>
        <w:t>рации по нормативу отчислений 84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% </w:t>
      </w:r>
      <w:r w:rsidR="004A593F" w:rsidRPr="001E778D">
        <w:rPr>
          <w:rFonts w:ascii="Times New Roman" w:eastAsiaTheme="minorHAnsi" w:hAnsi="Times New Roman"/>
          <w:sz w:val="28"/>
          <w:szCs w:val="28"/>
        </w:rPr>
        <w:t>– 188</w:t>
      </w:r>
      <w:r w:rsidR="001C68C7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="004A593F" w:rsidRPr="001E778D">
        <w:rPr>
          <w:rFonts w:ascii="Times New Roman" w:eastAsiaTheme="minorHAnsi" w:hAnsi="Times New Roman"/>
          <w:sz w:val="28"/>
          <w:szCs w:val="28"/>
        </w:rPr>
        <w:t>887,8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 млн. рублей, которые будут распределяться в следующем порядке: </w:t>
      </w:r>
    </w:p>
    <w:p w:rsidR="00CA2717" w:rsidRPr="001E778D" w:rsidRDefault="00CA2717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 xml:space="preserve">- </w:t>
      </w:r>
      <w:r w:rsidR="00B55398" w:rsidRPr="001E778D">
        <w:rPr>
          <w:rFonts w:ascii="Times New Roman" w:eastAsiaTheme="minorHAnsi" w:hAnsi="Times New Roman"/>
          <w:sz w:val="28"/>
          <w:szCs w:val="28"/>
        </w:rPr>
        <w:t>5,95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% – </w:t>
      </w:r>
      <w:r w:rsidR="004548D0" w:rsidRPr="001E778D">
        <w:rPr>
          <w:rFonts w:ascii="Times New Roman" w:eastAsiaTheme="minorHAnsi" w:hAnsi="Times New Roman"/>
          <w:sz w:val="28"/>
          <w:szCs w:val="28"/>
        </w:rPr>
        <w:t>распределяется между регионами</w:t>
      </w:r>
      <w:r w:rsidRPr="001E778D">
        <w:rPr>
          <w:rFonts w:ascii="Times New Roman" w:eastAsiaTheme="minorHAnsi" w:hAnsi="Times New Roman"/>
          <w:sz w:val="28"/>
          <w:szCs w:val="28"/>
        </w:rPr>
        <w:t>, на территории которых находятся предприятия – производители алкогольной продукции;</w:t>
      </w:r>
    </w:p>
    <w:p w:rsidR="00CA2717" w:rsidRPr="001E778D" w:rsidRDefault="00CA2717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 xml:space="preserve">- </w:t>
      </w:r>
      <w:r w:rsidR="00B55398" w:rsidRPr="001E778D">
        <w:rPr>
          <w:rFonts w:ascii="Times New Roman" w:eastAsiaTheme="minorHAnsi" w:hAnsi="Times New Roman"/>
          <w:sz w:val="28"/>
          <w:szCs w:val="28"/>
        </w:rPr>
        <w:t>53,55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% – распределяется между субъектами Российской Федерации пропорционально объему розничных продаж алкогольной продукции в системе ЕГАИС. Данный показатель ежеквартально рассчитывается для каждого субъекта Российской Федерации Федеральной службой по регулированию алкогольного рынка. Для Ярославской области </w:t>
      </w:r>
      <w:r w:rsidR="0092638E" w:rsidRPr="001E778D">
        <w:rPr>
          <w:rFonts w:ascii="Times New Roman" w:eastAsiaTheme="minorHAnsi" w:hAnsi="Times New Roman"/>
          <w:sz w:val="28"/>
          <w:szCs w:val="28"/>
        </w:rPr>
        <w:t xml:space="preserve">расчетное 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среднее значение объема розничных </w:t>
      </w:r>
      <w:r w:rsidR="00B55398" w:rsidRPr="001E778D">
        <w:rPr>
          <w:rFonts w:ascii="Times New Roman" w:eastAsiaTheme="minorHAnsi" w:hAnsi="Times New Roman"/>
          <w:sz w:val="28"/>
          <w:szCs w:val="28"/>
        </w:rPr>
        <w:t>продаж крепкого алкоголя за 2021 год – 1,2144</w:t>
      </w:r>
      <w:r w:rsidRPr="001E778D">
        <w:rPr>
          <w:rFonts w:ascii="Times New Roman" w:eastAsiaTheme="minorHAnsi" w:hAnsi="Times New Roman"/>
          <w:sz w:val="28"/>
          <w:szCs w:val="28"/>
        </w:rPr>
        <w:t>%;</w:t>
      </w:r>
    </w:p>
    <w:p w:rsidR="00CA2717" w:rsidRPr="001E778D" w:rsidRDefault="00CA2717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 xml:space="preserve">- </w:t>
      </w:r>
      <w:r w:rsidR="00B55398" w:rsidRPr="001E778D">
        <w:rPr>
          <w:rFonts w:ascii="Times New Roman" w:eastAsiaTheme="minorHAnsi" w:hAnsi="Times New Roman"/>
          <w:sz w:val="28"/>
          <w:szCs w:val="28"/>
        </w:rPr>
        <w:t>35,7</w:t>
      </w:r>
      <w:r w:rsidRPr="001E778D">
        <w:rPr>
          <w:rFonts w:ascii="Times New Roman" w:eastAsiaTheme="minorHAnsi" w:hAnsi="Times New Roman"/>
          <w:sz w:val="28"/>
          <w:szCs w:val="28"/>
        </w:rPr>
        <w:t>% – распределяется между субъектами Российской Федерации по нормативам, установленным законом о федеральном бюджете для субъектов Российской Федерации, в целях компенсации выпадающих доходов бюджетов в связи с исключением движимого имущества из объектов налогообложения по налогу на имущество организаций. Для Ярославской об</w:t>
      </w:r>
      <w:r w:rsidR="00B55398" w:rsidRPr="001E778D">
        <w:rPr>
          <w:rFonts w:ascii="Times New Roman" w:eastAsiaTheme="minorHAnsi" w:hAnsi="Times New Roman"/>
          <w:sz w:val="28"/>
          <w:szCs w:val="28"/>
        </w:rPr>
        <w:t>ласти установлен норматив 0,9312%;</w:t>
      </w:r>
    </w:p>
    <w:p w:rsidR="00B55398" w:rsidRPr="001E778D" w:rsidRDefault="004548D0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-</w:t>
      </w:r>
      <w:r w:rsidR="00411BB5">
        <w:rPr>
          <w:rFonts w:ascii="Times New Roman" w:eastAsiaTheme="minorHAnsi" w:hAnsi="Times New Roman"/>
          <w:sz w:val="28"/>
          <w:szCs w:val="28"/>
        </w:rPr>
        <w:t xml:space="preserve"> </w:t>
      </w:r>
      <w:r w:rsidRPr="001E778D">
        <w:rPr>
          <w:rFonts w:ascii="Times New Roman" w:eastAsiaTheme="minorHAnsi" w:hAnsi="Times New Roman"/>
          <w:sz w:val="28"/>
          <w:szCs w:val="28"/>
        </w:rPr>
        <w:t>4,8% - распределяе</w:t>
      </w:r>
      <w:r w:rsidR="00B55398" w:rsidRPr="001E778D">
        <w:rPr>
          <w:rFonts w:ascii="Times New Roman" w:eastAsiaTheme="minorHAnsi" w:hAnsi="Times New Roman"/>
          <w:sz w:val="28"/>
          <w:szCs w:val="28"/>
        </w:rPr>
        <w:t xml:space="preserve">тся </w:t>
      </w:r>
      <w:r w:rsidR="00107635" w:rsidRPr="001E778D">
        <w:rPr>
          <w:rFonts w:ascii="Times New Roman" w:eastAsiaTheme="minorHAnsi" w:hAnsi="Times New Roman"/>
          <w:sz w:val="28"/>
          <w:szCs w:val="28"/>
        </w:rPr>
        <w:t xml:space="preserve">между регионами </w:t>
      </w:r>
      <w:r w:rsidR="00B55398" w:rsidRPr="001E778D">
        <w:rPr>
          <w:rFonts w:ascii="Times New Roman" w:eastAsiaTheme="minorHAnsi" w:hAnsi="Times New Roman"/>
          <w:sz w:val="28"/>
          <w:szCs w:val="28"/>
        </w:rPr>
        <w:t xml:space="preserve">по дифференцированным нормативам, </w:t>
      </w:r>
      <w:r w:rsidR="00107635" w:rsidRPr="001E778D">
        <w:rPr>
          <w:rFonts w:ascii="Times New Roman" w:eastAsiaTheme="minorHAnsi" w:hAnsi="Times New Roman"/>
          <w:sz w:val="28"/>
          <w:szCs w:val="28"/>
        </w:rPr>
        <w:t xml:space="preserve">разработанным на основе средней доли положительных поступлений акцизов на средние дистилляты в бюджеты субъектов РФ в 2018 и 2019 </w:t>
      </w:r>
      <w:r w:rsidR="00411BB5">
        <w:rPr>
          <w:rFonts w:ascii="Times New Roman" w:eastAsiaTheme="minorHAnsi" w:hAnsi="Times New Roman"/>
          <w:sz w:val="28"/>
          <w:szCs w:val="28"/>
        </w:rPr>
        <w:t>годах</w:t>
      </w:r>
      <w:r w:rsidR="00107635" w:rsidRPr="001E778D">
        <w:rPr>
          <w:rFonts w:ascii="Times New Roman" w:eastAsiaTheme="minorHAnsi" w:hAnsi="Times New Roman"/>
          <w:sz w:val="28"/>
          <w:szCs w:val="28"/>
        </w:rPr>
        <w:t>. В б</w:t>
      </w:r>
      <w:r w:rsidR="00E35B10" w:rsidRPr="001E778D">
        <w:rPr>
          <w:rFonts w:ascii="Times New Roman" w:eastAsiaTheme="minorHAnsi" w:hAnsi="Times New Roman"/>
          <w:sz w:val="28"/>
          <w:szCs w:val="28"/>
        </w:rPr>
        <w:t>юджет Ярославской области данных</w:t>
      </w:r>
      <w:r w:rsidR="00A94A6F" w:rsidRPr="001E778D">
        <w:rPr>
          <w:rFonts w:ascii="Times New Roman" w:eastAsiaTheme="minorHAnsi" w:hAnsi="Times New Roman"/>
          <w:sz w:val="28"/>
          <w:szCs w:val="28"/>
        </w:rPr>
        <w:t xml:space="preserve"> поступлений нет.</w:t>
      </w:r>
    </w:p>
    <w:p w:rsidR="00CA2717" w:rsidRPr="001E778D" w:rsidRDefault="00CA2717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Расчет прогноза акциза</w:t>
      </w:r>
      <w:r w:rsidR="00E35B10" w:rsidRPr="001E778D">
        <w:rPr>
          <w:rFonts w:ascii="Times New Roman" w:eastAsiaTheme="minorHAnsi" w:hAnsi="Times New Roman"/>
          <w:sz w:val="28"/>
          <w:szCs w:val="28"/>
        </w:rPr>
        <w:t xml:space="preserve"> на алкогольную продукцию в 2022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 году:</w:t>
      </w:r>
    </w:p>
    <w:p w:rsidR="00CA2717" w:rsidRPr="001E778D" w:rsidRDefault="00E35B10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188</w:t>
      </w:r>
      <w:r w:rsidR="00496B66">
        <w:rPr>
          <w:rFonts w:ascii="Times New Roman" w:eastAsiaTheme="minorHAnsi" w:hAnsi="Times New Roman"/>
          <w:sz w:val="28"/>
          <w:szCs w:val="28"/>
        </w:rPr>
        <w:t> </w:t>
      </w:r>
      <w:r w:rsidR="009E3042" w:rsidRPr="001E778D">
        <w:rPr>
          <w:rFonts w:ascii="Times New Roman" w:eastAsiaTheme="minorHAnsi" w:hAnsi="Times New Roman"/>
          <w:sz w:val="28"/>
          <w:szCs w:val="28"/>
        </w:rPr>
        <w:t>887,8 * 53,55% * 1,2144</w:t>
      </w:r>
      <w:r w:rsidRPr="001E778D">
        <w:rPr>
          <w:rFonts w:ascii="Times New Roman" w:eastAsiaTheme="minorHAnsi" w:hAnsi="Times New Roman"/>
          <w:sz w:val="28"/>
          <w:szCs w:val="28"/>
        </w:rPr>
        <w:t>% + 188</w:t>
      </w:r>
      <w:r w:rsidR="0092638E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E778D">
        <w:rPr>
          <w:rFonts w:ascii="Times New Roman" w:eastAsiaTheme="minorHAnsi" w:hAnsi="Times New Roman"/>
          <w:sz w:val="28"/>
          <w:szCs w:val="28"/>
        </w:rPr>
        <w:t>887,7 * 35,7% * 0,9312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 xml:space="preserve">% = </w:t>
      </w:r>
      <w:r w:rsidR="000E0F6C" w:rsidRPr="00496B66">
        <w:rPr>
          <w:rFonts w:ascii="Times New Roman" w:eastAsiaTheme="minorHAnsi" w:hAnsi="Times New Roman"/>
          <w:sz w:val="28"/>
          <w:szCs w:val="28"/>
        </w:rPr>
        <w:t>=</w:t>
      </w:r>
      <w:r w:rsidR="000E0F6C" w:rsidRPr="001E778D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>1</w:t>
      </w:r>
      <w:r w:rsidRPr="001E778D">
        <w:rPr>
          <w:rFonts w:ascii="Times New Roman" w:eastAsiaTheme="minorHAnsi" w:hAnsi="Times New Roman"/>
          <w:sz w:val="28"/>
          <w:szCs w:val="28"/>
        </w:rPr>
        <w:t> 856,3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> млн. рублей.</w:t>
      </w:r>
    </w:p>
    <w:p w:rsidR="00CA2717" w:rsidRPr="001E778D" w:rsidRDefault="00CA2717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Прогноз поступления акциза на алкогольную продукцию:</w:t>
      </w:r>
    </w:p>
    <w:p w:rsidR="00CA2717" w:rsidRPr="001E778D" w:rsidRDefault="0092638E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- в 2023 году – 2 105,0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 xml:space="preserve"> млн. рублей с учетом увеличения доли акциза, распределяемой между субъектами Российской Федерации пропорционально объе</w:t>
      </w:r>
      <w:r w:rsidRPr="001E778D">
        <w:rPr>
          <w:rFonts w:ascii="Times New Roman" w:eastAsiaTheme="minorHAnsi" w:hAnsi="Times New Roman"/>
          <w:sz w:val="28"/>
          <w:szCs w:val="28"/>
        </w:rPr>
        <w:t>му розничных продаж в ЕГАИС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>,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 с 53,55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>%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 до 59,5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>%;</w:t>
      </w:r>
    </w:p>
    <w:p w:rsidR="00CA2717" w:rsidRPr="001E778D" w:rsidRDefault="00823E17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- в 2024</w:t>
      </w:r>
      <w:r w:rsidR="0092638E" w:rsidRPr="001E778D">
        <w:rPr>
          <w:rFonts w:ascii="Times New Roman" w:eastAsiaTheme="minorHAnsi" w:hAnsi="Times New Roman"/>
          <w:sz w:val="28"/>
          <w:szCs w:val="28"/>
        </w:rPr>
        <w:t xml:space="preserve"> году – 2 223,8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 xml:space="preserve"> млн. рублей.</w:t>
      </w:r>
    </w:p>
    <w:p w:rsidR="00CA2717" w:rsidRPr="001E778D" w:rsidRDefault="00D76C1E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Акцизы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 xml:space="preserve"> на нефтепродукты</w:t>
      </w:r>
      <w:r w:rsidR="001C68C7" w:rsidRPr="001E778D">
        <w:rPr>
          <w:rFonts w:ascii="Times New Roman" w:eastAsiaTheme="minorHAnsi" w:hAnsi="Times New Roman"/>
          <w:sz w:val="28"/>
          <w:szCs w:val="28"/>
        </w:rPr>
        <w:t xml:space="preserve"> в 2022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 xml:space="preserve"> году – </w:t>
      </w:r>
      <w:r w:rsidR="001C68C7" w:rsidRPr="001E778D">
        <w:rPr>
          <w:rFonts w:ascii="Times New Roman" w:eastAsiaTheme="minorHAnsi" w:hAnsi="Times New Roman"/>
          <w:sz w:val="28"/>
          <w:szCs w:val="28"/>
        </w:rPr>
        <w:t>6 290,7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 xml:space="preserve"> млн. рублей.</w:t>
      </w:r>
    </w:p>
    <w:p w:rsidR="00CA2717" w:rsidRPr="001E778D" w:rsidRDefault="00CA2717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 xml:space="preserve">Расчет прогноза произведен на основании показателей, представленных в материалах к проекту </w:t>
      </w:r>
      <w:r w:rsidR="00411BB5">
        <w:rPr>
          <w:rFonts w:ascii="Times New Roman" w:eastAsiaTheme="minorHAnsi" w:hAnsi="Times New Roman"/>
          <w:sz w:val="28"/>
          <w:szCs w:val="28"/>
        </w:rPr>
        <w:t xml:space="preserve">федерального 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закона </w:t>
      </w:r>
      <w:r w:rsidR="001C68C7" w:rsidRPr="001E778D">
        <w:rPr>
          <w:rFonts w:ascii="Times New Roman" w:eastAsiaTheme="minorHAnsi" w:hAnsi="Times New Roman"/>
          <w:sz w:val="28"/>
          <w:szCs w:val="28"/>
        </w:rPr>
        <w:t>«О федеральном бюджете на 2022 год и на плановый период 2023 и 2024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 годов». Поступление акцизов на нефтепродукты в федеральный бюджет по нормативу отчислений 25,1% </w:t>
      </w:r>
      <w:r w:rsidR="001C68C7" w:rsidRPr="001E778D">
        <w:rPr>
          <w:rFonts w:ascii="Times New Roman" w:eastAsiaTheme="minorHAnsi" w:hAnsi="Times New Roman"/>
          <w:sz w:val="28"/>
          <w:szCs w:val="28"/>
        </w:rPr>
        <w:t>прогнозируется в сумме 204 200,8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 млн. рублей, в консолидированный </w:t>
      </w:r>
      <w:r w:rsidRPr="001E778D">
        <w:rPr>
          <w:rFonts w:ascii="Times New Roman" w:eastAsiaTheme="minorHAnsi" w:hAnsi="Times New Roman"/>
          <w:sz w:val="28"/>
          <w:szCs w:val="28"/>
        </w:rPr>
        <w:lastRenderedPageBreak/>
        <w:t xml:space="preserve">бюджет субъектов Российской Федерации по нормативу 74,9% </w:t>
      </w:r>
      <w:r w:rsidR="001C68C7" w:rsidRPr="001E778D">
        <w:rPr>
          <w:rFonts w:ascii="Times New Roman" w:eastAsiaTheme="minorHAnsi" w:hAnsi="Times New Roman"/>
          <w:sz w:val="28"/>
          <w:szCs w:val="28"/>
        </w:rPr>
        <w:t>– 609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> </w:t>
      </w:r>
      <w:r w:rsidR="001C68C7" w:rsidRPr="001E778D">
        <w:rPr>
          <w:rFonts w:ascii="Times New Roman" w:eastAsiaTheme="minorHAnsi" w:hAnsi="Times New Roman"/>
          <w:sz w:val="28"/>
          <w:szCs w:val="28"/>
        </w:rPr>
        <w:t>348,3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> </w:t>
      </w:r>
      <w:r w:rsidRPr="001E778D">
        <w:rPr>
          <w:rFonts w:ascii="Times New Roman" w:eastAsiaTheme="minorHAnsi" w:hAnsi="Times New Roman"/>
          <w:sz w:val="28"/>
          <w:szCs w:val="28"/>
        </w:rPr>
        <w:t>млн. рублей.</w:t>
      </w:r>
    </w:p>
    <w:p w:rsidR="00CA2717" w:rsidRPr="00CA2717" w:rsidRDefault="00CA2717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Акцизы на нефтепродукты зачисляются в бюджет субъектов Российской Федерации по двум направлениям: в целях формирования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дорожных фондов субъектов Российской Федерации и в целях реализации национального</w:t>
      </w:r>
      <w:r w:rsidR="001C68C7">
        <w:rPr>
          <w:rFonts w:ascii="Times New Roman" w:eastAsiaTheme="minorHAnsi" w:hAnsi="Times New Roman"/>
          <w:sz w:val="28"/>
          <w:szCs w:val="28"/>
        </w:rPr>
        <w:t xml:space="preserve"> проекта «Безопасные </w:t>
      </w:r>
      <w:r w:rsidR="001B62B3">
        <w:rPr>
          <w:rFonts w:ascii="Times New Roman" w:eastAsiaTheme="minorHAnsi" w:hAnsi="Times New Roman"/>
          <w:sz w:val="28"/>
          <w:szCs w:val="28"/>
        </w:rPr>
        <w:t>и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качественные</w:t>
      </w:r>
      <w:r w:rsidR="001B62B3">
        <w:rPr>
          <w:rFonts w:ascii="Times New Roman" w:eastAsiaTheme="minorHAnsi" w:hAnsi="Times New Roman"/>
          <w:sz w:val="28"/>
          <w:szCs w:val="28"/>
        </w:rPr>
        <w:t xml:space="preserve"> автомобильные дороги</w:t>
      </w:r>
      <w:r w:rsidRPr="00CA2717">
        <w:rPr>
          <w:rFonts w:ascii="Times New Roman" w:eastAsiaTheme="minorHAnsi" w:hAnsi="Times New Roman"/>
          <w:sz w:val="28"/>
          <w:szCs w:val="28"/>
        </w:rPr>
        <w:t>».</w:t>
      </w:r>
    </w:p>
    <w:p w:rsidR="00CA2717" w:rsidRPr="00CA2717" w:rsidRDefault="00CA2717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A2717">
        <w:rPr>
          <w:rFonts w:ascii="Times New Roman" w:eastAsiaTheme="minorHAnsi" w:hAnsi="Times New Roman"/>
          <w:sz w:val="28"/>
          <w:szCs w:val="28"/>
        </w:rPr>
        <w:t>Расчет прогноза</w:t>
      </w:r>
      <w:r w:rsidR="006D5C0E">
        <w:rPr>
          <w:rFonts w:ascii="Times New Roman" w:eastAsiaTheme="minorHAnsi" w:hAnsi="Times New Roman"/>
          <w:sz w:val="28"/>
          <w:szCs w:val="28"/>
        </w:rPr>
        <w:t xml:space="preserve"> акцизов на нефтепродукты в 2022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году для формирования дорожного фонда следующий:</w:t>
      </w:r>
    </w:p>
    <w:p w:rsidR="00CA2717" w:rsidRPr="00CA2717" w:rsidRDefault="006D5C0E" w:rsidP="00411BB5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609 348,3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* 77,7%</w:t>
      </w:r>
      <w:r w:rsidR="00496B6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*</w:t>
      </w:r>
      <w:r w:rsidR="00496B6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0,9019</w:t>
      </w:r>
      <w:r w:rsidR="00CA2717" w:rsidRPr="00CA2717">
        <w:rPr>
          <w:rFonts w:ascii="Times New Roman" w:eastAsiaTheme="minorHAnsi" w:hAnsi="Times New Roman"/>
          <w:sz w:val="28"/>
          <w:szCs w:val="28"/>
        </w:rPr>
        <w:t>% * 90% = 3</w:t>
      </w:r>
      <w:r>
        <w:rPr>
          <w:rFonts w:ascii="Times New Roman" w:eastAsiaTheme="minorHAnsi" w:hAnsi="Times New Roman"/>
          <w:sz w:val="28"/>
          <w:szCs w:val="28"/>
        </w:rPr>
        <w:t> 843,1</w:t>
      </w:r>
      <w:r w:rsidR="00CA2717" w:rsidRPr="00CA2717">
        <w:rPr>
          <w:rFonts w:ascii="Times New Roman" w:eastAsiaTheme="minorHAnsi" w:hAnsi="Times New Roman"/>
          <w:sz w:val="28"/>
          <w:szCs w:val="28"/>
        </w:rPr>
        <w:t xml:space="preserve"> млн. рублей,</w:t>
      </w:r>
      <w:r w:rsidR="00411BB5">
        <w:rPr>
          <w:rFonts w:ascii="Times New Roman" w:eastAsiaTheme="minorHAnsi" w:hAnsi="Times New Roman"/>
          <w:sz w:val="28"/>
          <w:szCs w:val="28"/>
        </w:rPr>
        <w:t xml:space="preserve"> </w:t>
      </w:r>
      <w:r w:rsidR="00CA2717" w:rsidRPr="00CA2717">
        <w:rPr>
          <w:rFonts w:ascii="Times New Roman" w:eastAsiaTheme="minorHAnsi" w:hAnsi="Times New Roman"/>
          <w:sz w:val="28"/>
          <w:szCs w:val="28"/>
        </w:rPr>
        <w:t>где:</w:t>
      </w:r>
    </w:p>
    <w:p w:rsidR="00CA2717" w:rsidRPr="00CA2717" w:rsidRDefault="000E0F6C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77,7% – </w:t>
      </w:r>
      <w:r w:rsidR="00CA2717" w:rsidRPr="00CA2717">
        <w:rPr>
          <w:rFonts w:ascii="Times New Roman" w:eastAsiaTheme="minorHAnsi" w:hAnsi="Times New Roman"/>
          <w:sz w:val="28"/>
          <w:szCs w:val="28"/>
        </w:rPr>
        <w:t>норматив</w:t>
      </w:r>
      <w:r w:rsidR="007E7F25">
        <w:rPr>
          <w:rFonts w:ascii="Times New Roman" w:eastAsiaTheme="minorHAnsi" w:hAnsi="Times New Roman"/>
          <w:sz w:val="28"/>
          <w:szCs w:val="28"/>
        </w:rPr>
        <w:t xml:space="preserve"> зачисления</w:t>
      </w:r>
      <w:r w:rsidR="00CA2717" w:rsidRPr="00CA2717">
        <w:rPr>
          <w:rFonts w:ascii="Times New Roman" w:eastAsiaTheme="minorHAnsi" w:hAnsi="Times New Roman"/>
          <w:sz w:val="28"/>
          <w:szCs w:val="28"/>
        </w:rPr>
        <w:t xml:space="preserve"> доходов от акцизов на нефтепродукты </w:t>
      </w:r>
      <w:r w:rsidR="00D53BA4">
        <w:rPr>
          <w:rFonts w:ascii="Times New Roman" w:eastAsiaTheme="minorHAnsi" w:hAnsi="Times New Roman"/>
          <w:sz w:val="28"/>
          <w:szCs w:val="28"/>
        </w:rPr>
        <w:t xml:space="preserve">в </w:t>
      </w:r>
      <w:r w:rsidR="007E7F25">
        <w:rPr>
          <w:rFonts w:ascii="Times New Roman" w:eastAsiaTheme="minorHAnsi" w:hAnsi="Times New Roman"/>
          <w:sz w:val="28"/>
          <w:szCs w:val="28"/>
        </w:rPr>
        <w:t xml:space="preserve">бюджеты </w:t>
      </w:r>
      <w:r w:rsidR="00CA2717" w:rsidRPr="00CA2717">
        <w:rPr>
          <w:rFonts w:ascii="Times New Roman" w:eastAsiaTheme="minorHAnsi" w:hAnsi="Times New Roman"/>
          <w:sz w:val="28"/>
          <w:szCs w:val="28"/>
        </w:rPr>
        <w:t xml:space="preserve">субъектов Российской Федерации </w:t>
      </w:r>
      <w:r w:rsidR="007E7F25">
        <w:rPr>
          <w:rFonts w:ascii="Times New Roman" w:eastAsiaTheme="minorHAnsi" w:hAnsi="Times New Roman"/>
          <w:sz w:val="28"/>
          <w:szCs w:val="28"/>
        </w:rPr>
        <w:t xml:space="preserve">для распределения </w:t>
      </w:r>
      <w:r w:rsidR="00CA2717" w:rsidRPr="00CA2717">
        <w:rPr>
          <w:rFonts w:ascii="Times New Roman" w:eastAsiaTheme="minorHAnsi" w:hAnsi="Times New Roman"/>
          <w:sz w:val="28"/>
          <w:szCs w:val="28"/>
        </w:rPr>
        <w:t>в целях  формирования дорожного фонда;</w:t>
      </w:r>
    </w:p>
    <w:p w:rsidR="00CA2717" w:rsidRPr="00CA2717" w:rsidRDefault="006D5C0E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0,9019</w:t>
      </w:r>
      <w:r w:rsidR="00CA2717" w:rsidRPr="00CA2717">
        <w:rPr>
          <w:rFonts w:ascii="Times New Roman" w:eastAsiaTheme="minorHAnsi" w:hAnsi="Times New Roman"/>
          <w:sz w:val="28"/>
          <w:szCs w:val="28"/>
        </w:rPr>
        <w:t xml:space="preserve">% – норматив распределения доходов от акцизов </w:t>
      </w:r>
      <w:r w:rsidR="007E7F25" w:rsidRPr="00CA2717">
        <w:rPr>
          <w:rFonts w:ascii="Times New Roman" w:eastAsiaTheme="minorHAnsi" w:hAnsi="Times New Roman"/>
          <w:sz w:val="28"/>
          <w:szCs w:val="28"/>
        </w:rPr>
        <w:t xml:space="preserve">на нефтепродукты </w:t>
      </w:r>
      <w:r w:rsidR="00CA2717" w:rsidRPr="00CA2717">
        <w:rPr>
          <w:rFonts w:ascii="Times New Roman" w:eastAsiaTheme="minorHAnsi" w:hAnsi="Times New Roman"/>
          <w:sz w:val="28"/>
          <w:szCs w:val="28"/>
        </w:rPr>
        <w:t>в бюджет Ярославской области в целях формирования дорожн</w:t>
      </w:r>
      <w:r w:rsidR="007E7F25">
        <w:rPr>
          <w:rFonts w:ascii="Times New Roman" w:eastAsiaTheme="minorHAnsi" w:hAnsi="Times New Roman"/>
          <w:sz w:val="28"/>
          <w:szCs w:val="28"/>
        </w:rPr>
        <w:t>ого фонда</w:t>
      </w:r>
      <w:r w:rsidR="00CA2717" w:rsidRPr="00CA2717">
        <w:rPr>
          <w:rFonts w:ascii="Times New Roman" w:eastAsiaTheme="minorHAnsi" w:hAnsi="Times New Roman"/>
          <w:sz w:val="28"/>
          <w:szCs w:val="28"/>
        </w:rPr>
        <w:t xml:space="preserve"> в зависимости от протяженности авто</w:t>
      </w:r>
      <w:r w:rsidR="007E7F25">
        <w:rPr>
          <w:rFonts w:ascii="Times New Roman" w:eastAsiaTheme="minorHAnsi" w:hAnsi="Times New Roman"/>
          <w:sz w:val="28"/>
          <w:szCs w:val="28"/>
        </w:rPr>
        <w:t xml:space="preserve">мобильных </w:t>
      </w:r>
      <w:r w:rsidR="00CA2717" w:rsidRPr="00CA2717">
        <w:rPr>
          <w:rFonts w:ascii="Times New Roman" w:eastAsiaTheme="minorHAnsi" w:hAnsi="Times New Roman"/>
          <w:sz w:val="28"/>
          <w:szCs w:val="28"/>
        </w:rPr>
        <w:t>дорог, количества транспортных средств, объема розничной продажи нефтепродуктов, предусмотренный в проекте зако</w:t>
      </w:r>
      <w:r w:rsidR="005652BF">
        <w:rPr>
          <w:rFonts w:ascii="Times New Roman" w:eastAsiaTheme="minorHAnsi" w:hAnsi="Times New Roman"/>
          <w:sz w:val="28"/>
          <w:szCs w:val="28"/>
        </w:rPr>
        <w:t>на о федеральном бюджете на 2022</w:t>
      </w:r>
      <w:r w:rsidR="00CA2717" w:rsidRPr="00CA2717">
        <w:rPr>
          <w:rFonts w:ascii="Times New Roman" w:eastAsiaTheme="minorHAnsi" w:hAnsi="Times New Roman"/>
          <w:sz w:val="28"/>
          <w:szCs w:val="28"/>
        </w:rPr>
        <w:t xml:space="preserve"> год;</w:t>
      </w:r>
    </w:p>
    <w:p w:rsidR="00CA2717" w:rsidRPr="00CA2717" w:rsidRDefault="00CA2717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A2717">
        <w:rPr>
          <w:rFonts w:ascii="Times New Roman" w:eastAsiaTheme="minorHAnsi" w:hAnsi="Times New Roman"/>
          <w:sz w:val="28"/>
          <w:szCs w:val="28"/>
        </w:rPr>
        <w:t xml:space="preserve">90% – норматив зачисления </w:t>
      </w:r>
      <w:r w:rsidR="00C92A77">
        <w:rPr>
          <w:rFonts w:ascii="Times New Roman" w:eastAsiaTheme="minorHAnsi" w:hAnsi="Times New Roman"/>
          <w:sz w:val="28"/>
          <w:szCs w:val="28"/>
        </w:rPr>
        <w:t xml:space="preserve">доходов от </w:t>
      </w:r>
      <w:r w:rsidRPr="00CA2717">
        <w:rPr>
          <w:rFonts w:ascii="Times New Roman" w:eastAsiaTheme="minorHAnsi" w:hAnsi="Times New Roman"/>
          <w:sz w:val="28"/>
          <w:szCs w:val="28"/>
        </w:rPr>
        <w:t>акцизов на нефтепродукты в областной бюджет.</w:t>
      </w:r>
    </w:p>
    <w:p w:rsidR="00CA2717" w:rsidRPr="00CA2717" w:rsidRDefault="00CA2717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A2717">
        <w:rPr>
          <w:rFonts w:ascii="Times New Roman" w:eastAsiaTheme="minorHAnsi" w:hAnsi="Times New Roman"/>
          <w:sz w:val="28"/>
          <w:szCs w:val="28"/>
        </w:rPr>
        <w:t>В соответствии со ст</w:t>
      </w:r>
      <w:r w:rsidR="00411BB5">
        <w:rPr>
          <w:rFonts w:ascii="Times New Roman" w:eastAsiaTheme="minorHAnsi" w:hAnsi="Times New Roman"/>
          <w:sz w:val="28"/>
          <w:szCs w:val="28"/>
        </w:rPr>
        <w:t>атьей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58 Бюджетного кодекса Российской Федерации в бюджеты муниципальных образований подлежит зачислению 10% акцизов на н</w:t>
      </w:r>
      <w:r w:rsidR="003D7D85">
        <w:rPr>
          <w:rFonts w:ascii="Times New Roman" w:eastAsiaTheme="minorHAnsi" w:hAnsi="Times New Roman"/>
          <w:sz w:val="28"/>
          <w:szCs w:val="28"/>
        </w:rPr>
        <w:t>ефтепродукты, что составит 427,0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млн. рублей.</w:t>
      </w:r>
    </w:p>
    <w:p w:rsidR="00CA2717" w:rsidRPr="00CA2717" w:rsidRDefault="00CA2717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A2717">
        <w:rPr>
          <w:rFonts w:ascii="Times New Roman" w:eastAsiaTheme="minorHAnsi" w:hAnsi="Times New Roman"/>
          <w:sz w:val="28"/>
          <w:szCs w:val="28"/>
        </w:rPr>
        <w:t>Расчет прогноза</w:t>
      </w:r>
      <w:r w:rsidR="003D7D85">
        <w:rPr>
          <w:rFonts w:ascii="Times New Roman" w:eastAsiaTheme="minorHAnsi" w:hAnsi="Times New Roman"/>
          <w:sz w:val="28"/>
          <w:szCs w:val="28"/>
        </w:rPr>
        <w:t xml:space="preserve"> акцизов на нефтепродукты в 2022</w:t>
      </w:r>
      <w:r w:rsidRPr="00CA2717">
        <w:rPr>
          <w:rFonts w:ascii="Times New Roman" w:eastAsiaTheme="minorHAnsi" w:hAnsi="Times New Roman"/>
          <w:sz w:val="28"/>
          <w:szCs w:val="28"/>
        </w:rPr>
        <w:t xml:space="preserve"> году в целях реализации национального проекта «Безопасные и качественные автомобильные дороги» следующий:</w:t>
      </w:r>
    </w:p>
    <w:p w:rsidR="00CA2717" w:rsidRPr="00CA2717" w:rsidRDefault="00EA12C4" w:rsidP="00CA2717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609 348,3</w:t>
      </w:r>
      <w:r w:rsidR="00CA2717" w:rsidRPr="00CA2717">
        <w:rPr>
          <w:rFonts w:ascii="Times New Roman" w:eastAsiaTheme="minorHAnsi" w:hAnsi="Times New Roman"/>
          <w:sz w:val="28"/>
          <w:szCs w:val="28"/>
        </w:rPr>
        <w:t xml:space="preserve"> * 22,3% *</w:t>
      </w:r>
      <w:r>
        <w:rPr>
          <w:rFonts w:ascii="Times New Roman" w:eastAsiaTheme="minorHAnsi" w:hAnsi="Times New Roman"/>
          <w:sz w:val="28"/>
          <w:szCs w:val="28"/>
        </w:rPr>
        <w:t xml:space="preserve"> 1,8012% = 2 447,6</w:t>
      </w:r>
      <w:r w:rsidR="00CA2717" w:rsidRPr="00CA2717">
        <w:rPr>
          <w:rFonts w:ascii="Times New Roman" w:eastAsiaTheme="minorHAnsi" w:hAnsi="Times New Roman"/>
          <w:sz w:val="28"/>
          <w:szCs w:val="28"/>
        </w:rPr>
        <w:t xml:space="preserve"> млн. рублей,</w:t>
      </w:r>
    </w:p>
    <w:p w:rsidR="00CA2717" w:rsidRPr="00CA2717" w:rsidRDefault="00CA2717" w:rsidP="00CA2717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CA2717">
        <w:rPr>
          <w:rFonts w:ascii="Times New Roman" w:eastAsiaTheme="minorHAnsi" w:hAnsi="Times New Roman"/>
          <w:sz w:val="28"/>
          <w:szCs w:val="28"/>
        </w:rPr>
        <w:t>где:</w:t>
      </w:r>
    </w:p>
    <w:p w:rsidR="00CA2717" w:rsidRPr="001E778D" w:rsidRDefault="000E0F6C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 xml:space="preserve">22,3% – 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>норматив</w:t>
      </w:r>
      <w:r w:rsidR="007E7F25" w:rsidRPr="001E778D">
        <w:rPr>
          <w:rFonts w:ascii="Times New Roman" w:eastAsiaTheme="minorHAnsi" w:hAnsi="Times New Roman"/>
          <w:sz w:val="28"/>
          <w:szCs w:val="28"/>
        </w:rPr>
        <w:t xml:space="preserve"> зачисления 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 xml:space="preserve"> доходов от акцизов на нефтепродукты</w:t>
      </w:r>
      <w:r w:rsidR="007E7F25" w:rsidRPr="001E778D">
        <w:rPr>
          <w:rFonts w:ascii="Times New Roman" w:eastAsiaTheme="minorHAnsi" w:hAnsi="Times New Roman"/>
          <w:sz w:val="28"/>
          <w:szCs w:val="28"/>
        </w:rPr>
        <w:t xml:space="preserve"> в бюджеты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 xml:space="preserve"> субъектов Российской Федерации </w:t>
      </w:r>
      <w:r w:rsidR="00D53BA4" w:rsidRPr="001E778D">
        <w:rPr>
          <w:rFonts w:ascii="Times New Roman" w:eastAsiaTheme="minorHAnsi" w:hAnsi="Times New Roman"/>
          <w:sz w:val="28"/>
          <w:szCs w:val="28"/>
        </w:rPr>
        <w:t xml:space="preserve">для распределения 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>в целях реализации национального проекта «Безопасные и качественные автомобильные дороги»;</w:t>
      </w:r>
    </w:p>
    <w:p w:rsidR="00CA2717" w:rsidRPr="001E778D" w:rsidRDefault="00EA12C4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1,8012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 xml:space="preserve">% – 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 xml:space="preserve">норматив распределения </w:t>
      </w:r>
      <w:r w:rsidR="00C92A77" w:rsidRPr="001E778D">
        <w:rPr>
          <w:rFonts w:ascii="Times New Roman" w:eastAsiaTheme="minorHAnsi" w:hAnsi="Times New Roman"/>
          <w:sz w:val="28"/>
          <w:szCs w:val="28"/>
        </w:rPr>
        <w:t xml:space="preserve">доходов от 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>акцизов на нефтепродукты в бюджет Ярославской области в целях реализации национального проекта «Безопасные и качественные автомобильные дороги», предусмотренный в проекте закона о федеральном бюджете н</w:t>
      </w:r>
      <w:r w:rsidRPr="001E778D">
        <w:rPr>
          <w:rFonts w:ascii="Times New Roman" w:eastAsiaTheme="minorHAnsi" w:hAnsi="Times New Roman"/>
          <w:sz w:val="28"/>
          <w:szCs w:val="28"/>
        </w:rPr>
        <w:t>а 2022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 xml:space="preserve"> год.</w:t>
      </w:r>
    </w:p>
    <w:p w:rsidR="00CA2717" w:rsidRPr="001E778D" w:rsidRDefault="00CA2717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 xml:space="preserve">Прогноз поступления </w:t>
      </w:r>
      <w:r w:rsidR="00EA12C4" w:rsidRPr="001E778D">
        <w:rPr>
          <w:rFonts w:ascii="Times New Roman" w:eastAsiaTheme="minorHAnsi" w:hAnsi="Times New Roman"/>
          <w:sz w:val="28"/>
          <w:szCs w:val="28"/>
        </w:rPr>
        <w:t>акцизов на нефтепродукты в 2022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 году:</w:t>
      </w:r>
    </w:p>
    <w:p w:rsidR="00CA2717" w:rsidRPr="001E778D" w:rsidRDefault="00EA12C4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3 843,1 + 2 447,6 = 6 290,7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 xml:space="preserve"> млн. рублей.</w:t>
      </w:r>
    </w:p>
    <w:p w:rsidR="00CA2717" w:rsidRPr="001E778D" w:rsidRDefault="00CA2717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Прогноз поступления акцизов на нефтепродукты:</w:t>
      </w:r>
    </w:p>
    <w:p w:rsidR="00CA2717" w:rsidRPr="001E778D" w:rsidRDefault="00EA12C4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- в 2023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="00DE0AE7" w:rsidRPr="001E778D">
        <w:rPr>
          <w:rFonts w:ascii="Times New Roman" w:eastAsiaTheme="minorHAnsi" w:hAnsi="Times New Roman"/>
          <w:sz w:val="28"/>
          <w:szCs w:val="28"/>
        </w:rPr>
        <w:t>году – 6 482,9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 xml:space="preserve"> млн.</w:t>
      </w:r>
      <w:r w:rsidR="00051FF8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E778D">
        <w:rPr>
          <w:rFonts w:ascii="Times New Roman" w:eastAsiaTheme="minorHAnsi" w:hAnsi="Times New Roman"/>
          <w:sz w:val="28"/>
          <w:szCs w:val="28"/>
        </w:rPr>
        <w:t>рублей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>;</w:t>
      </w:r>
    </w:p>
    <w:p w:rsidR="00CA2717" w:rsidRPr="001E778D" w:rsidRDefault="00EA12C4" w:rsidP="00CA271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- в 2024 году – 6 769,7</w:t>
      </w:r>
      <w:r w:rsidR="00CA2717" w:rsidRPr="001E778D">
        <w:rPr>
          <w:rFonts w:ascii="Times New Roman" w:eastAsiaTheme="minorHAnsi" w:hAnsi="Times New Roman"/>
          <w:sz w:val="28"/>
          <w:szCs w:val="28"/>
        </w:rPr>
        <w:t xml:space="preserve"> млн. рублей.</w:t>
      </w:r>
    </w:p>
    <w:p w:rsidR="005F7790" w:rsidRPr="001E778D" w:rsidRDefault="00A20B4C" w:rsidP="005F779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1E778D">
        <w:rPr>
          <w:rFonts w:ascii="Times New Roman" w:eastAsiaTheme="minorHAnsi" w:hAnsi="Times New Roman"/>
          <w:sz w:val="28"/>
          <w:szCs w:val="28"/>
        </w:rPr>
        <w:lastRenderedPageBreak/>
        <w:t>Налог, взимаемый</w:t>
      </w:r>
      <w:r w:rsidR="005F7790" w:rsidRPr="001E778D">
        <w:rPr>
          <w:rFonts w:ascii="Times New Roman" w:eastAsiaTheme="minorHAnsi" w:hAnsi="Times New Roman"/>
          <w:sz w:val="28"/>
          <w:szCs w:val="28"/>
        </w:rPr>
        <w:t xml:space="preserve"> по упрощенной системе налогообложения, в 2022 году – 4 913 млн. руб., рост на 8,9% или на 403,2 млн. руб</w:t>
      </w:r>
      <w:r w:rsidR="00823E17" w:rsidRPr="001E778D">
        <w:rPr>
          <w:rFonts w:ascii="Times New Roman" w:eastAsiaTheme="minorHAnsi" w:hAnsi="Times New Roman"/>
          <w:sz w:val="28"/>
          <w:szCs w:val="28"/>
        </w:rPr>
        <w:t>лей</w:t>
      </w:r>
      <w:r w:rsidR="005F7790" w:rsidRPr="001E778D">
        <w:rPr>
          <w:rFonts w:ascii="Times New Roman" w:eastAsiaTheme="minorHAnsi" w:hAnsi="Times New Roman"/>
          <w:sz w:val="28"/>
          <w:szCs w:val="28"/>
        </w:rPr>
        <w:t>.</w:t>
      </w:r>
    </w:p>
    <w:p w:rsidR="005F7790" w:rsidRPr="001E778D" w:rsidRDefault="005F7790" w:rsidP="001E77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Для расчета прогноза применены макроэкономические показатели</w:t>
      </w:r>
      <w:r w:rsidR="0007698D" w:rsidRPr="001E778D">
        <w:rPr>
          <w:rFonts w:ascii="Times New Roman" w:eastAsiaTheme="minorHAnsi" w:hAnsi="Times New Roman"/>
          <w:sz w:val="28"/>
          <w:szCs w:val="28"/>
        </w:rPr>
        <w:t xml:space="preserve"> ПСЭР ЯО</w:t>
      </w:r>
      <w:r w:rsidRPr="001E778D">
        <w:rPr>
          <w:rFonts w:ascii="Times New Roman" w:eastAsiaTheme="minorHAnsi" w:hAnsi="Times New Roman"/>
          <w:sz w:val="28"/>
          <w:szCs w:val="28"/>
        </w:rPr>
        <w:t>: рост числа малых предприятий, включая микропредприятия</w:t>
      </w:r>
      <w:r w:rsidR="0007698D" w:rsidRPr="001E778D">
        <w:rPr>
          <w:rFonts w:ascii="Times New Roman" w:eastAsiaTheme="minorHAnsi" w:hAnsi="Times New Roman"/>
          <w:sz w:val="28"/>
          <w:szCs w:val="28"/>
        </w:rPr>
        <w:t>,</w:t>
      </w:r>
      <w:r w:rsidR="00863324" w:rsidRPr="001E778D">
        <w:rPr>
          <w:rFonts w:ascii="Times New Roman" w:eastAsiaTheme="minorHAnsi" w:hAnsi="Times New Roman"/>
          <w:sz w:val="28"/>
          <w:szCs w:val="28"/>
        </w:rPr>
        <w:t xml:space="preserve"> на  </w:t>
      </w:r>
      <w:r w:rsidRPr="001E778D">
        <w:rPr>
          <w:rFonts w:ascii="Times New Roman" w:eastAsiaTheme="minorHAnsi" w:hAnsi="Times New Roman"/>
          <w:sz w:val="28"/>
          <w:szCs w:val="28"/>
        </w:rPr>
        <w:t>0,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 xml:space="preserve">2% и индекс потребительских цен – </w:t>
      </w:r>
      <w:r w:rsidRPr="001E778D">
        <w:rPr>
          <w:rFonts w:ascii="Times New Roman" w:eastAsiaTheme="minorHAnsi" w:hAnsi="Times New Roman"/>
          <w:sz w:val="28"/>
          <w:szCs w:val="28"/>
        </w:rPr>
        <w:t>105,9%.</w:t>
      </w:r>
    </w:p>
    <w:p w:rsidR="005F7790" w:rsidRPr="001E778D" w:rsidRDefault="005F7790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Расчет прогноза налога</w:t>
      </w:r>
      <w:r w:rsidR="00307DD9" w:rsidRPr="001E778D">
        <w:rPr>
          <w:rFonts w:ascii="Times New Roman" w:eastAsiaTheme="minorHAnsi" w:hAnsi="Times New Roman"/>
          <w:sz w:val="28"/>
          <w:szCs w:val="28"/>
        </w:rPr>
        <w:t xml:space="preserve"> в 2022 году</w:t>
      </w:r>
      <w:r w:rsidRPr="001E778D">
        <w:rPr>
          <w:rFonts w:ascii="Times New Roman" w:eastAsiaTheme="minorHAnsi" w:hAnsi="Times New Roman"/>
          <w:sz w:val="28"/>
          <w:szCs w:val="28"/>
        </w:rPr>
        <w:t>:</w:t>
      </w:r>
    </w:p>
    <w:p w:rsidR="005F7790" w:rsidRPr="001E778D" w:rsidRDefault="00F53A1C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4 509,8</w:t>
      </w:r>
      <w:r w:rsidR="005F7790" w:rsidRPr="001E778D">
        <w:rPr>
          <w:rFonts w:ascii="Times New Roman" w:eastAsiaTheme="minorHAnsi" w:hAnsi="Times New Roman"/>
          <w:sz w:val="28"/>
          <w:szCs w:val="28"/>
        </w:rPr>
        <w:t xml:space="preserve"> * 100,2% * 105,9% + 1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27,6 </w:t>
      </w:r>
      <w:r w:rsidR="0007698D" w:rsidRPr="001E778D">
        <w:rPr>
          <w:rFonts w:ascii="Times New Roman" w:eastAsiaTheme="minorHAnsi" w:hAnsi="Times New Roman"/>
          <w:sz w:val="28"/>
          <w:szCs w:val="28"/>
        </w:rPr>
        <w:t>= 4 913 млн. рублей</w:t>
      </w:r>
      <w:r w:rsidR="005F7790" w:rsidRPr="001E778D">
        <w:rPr>
          <w:rFonts w:ascii="Times New Roman" w:eastAsiaTheme="minorHAnsi" w:hAnsi="Times New Roman"/>
          <w:sz w:val="28"/>
          <w:szCs w:val="28"/>
        </w:rPr>
        <w:t>, где:</w:t>
      </w:r>
    </w:p>
    <w:p w:rsidR="005F7790" w:rsidRPr="001E778D" w:rsidRDefault="0007698D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- 4 509,8 млн. рублей</w:t>
      </w:r>
      <w:r w:rsidR="005F7790" w:rsidRPr="001E778D">
        <w:rPr>
          <w:rFonts w:ascii="Times New Roman" w:eastAsiaTheme="minorHAnsi" w:hAnsi="Times New Roman"/>
          <w:sz w:val="28"/>
          <w:szCs w:val="28"/>
        </w:rPr>
        <w:t xml:space="preserve"> – ожидаемое поступление налога, взимаемого по упрощенной системе налогообложения, в 2021 году;</w:t>
      </w:r>
    </w:p>
    <w:p w:rsidR="00F61F2C" w:rsidRPr="001E778D" w:rsidRDefault="0007698D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- 127,6 млн. рублей</w:t>
      </w:r>
      <w:r w:rsidR="005F7790" w:rsidRPr="001E778D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F61F2C" w:rsidRPr="001E778D">
        <w:rPr>
          <w:rFonts w:ascii="Times New Roman" w:eastAsiaTheme="minorHAnsi" w:hAnsi="Times New Roman"/>
          <w:sz w:val="28"/>
          <w:szCs w:val="28"/>
        </w:rPr>
        <w:t>дополнительные поступления за счет мероприятий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>,</w:t>
      </w:r>
      <w:r w:rsidR="00F61F2C" w:rsidRPr="001E778D">
        <w:rPr>
          <w:rFonts w:ascii="Times New Roman" w:eastAsiaTheme="minorHAnsi" w:hAnsi="Times New Roman"/>
          <w:sz w:val="28"/>
          <w:szCs w:val="28"/>
        </w:rPr>
        <w:t xml:space="preserve"> направленных на повышение эффективности администрирования налога.</w:t>
      </w:r>
    </w:p>
    <w:p w:rsidR="005F7790" w:rsidRPr="001E778D" w:rsidRDefault="005F7790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Прогноз поступления налога:</w:t>
      </w:r>
    </w:p>
    <w:p w:rsidR="005F7790" w:rsidRPr="001E778D" w:rsidRDefault="005F7790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- в 2023 году – 5 291,1 млн. рублей, при росте числа малых предприятий, включая микропредприятия, на 1,6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 xml:space="preserve">% и индексе потребительских цен – 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106,0%, </w:t>
      </w:r>
    </w:p>
    <w:p w:rsidR="005F7790" w:rsidRPr="001E778D" w:rsidRDefault="005F7790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- в 2024 году – 5 702,3 млн. рублей, при росте числа малых предприятий, включая микропредприятия, на 1,1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 xml:space="preserve">% и индексе потребительских цен – </w:t>
      </w:r>
      <w:r w:rsidRPr="001E778D">
        <w:rPr>
          <w:rFonts w:ascii="Times New Roman" w:eastAsiaTheme="minorHAnsi" w:hAnsi="Times New Roman"/>
          <w:sz w:val="28"/>
          <w:szCs w:val="28"/>
        </w:rPr>
        <w:t>106,6%.</w:t>
      </w:r>
    </w:p>
    <w:p w:rsidR="004D0675" w:rsidRPr="001E778D" w:rsidRDefault="004D0675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778D">
        <w:rPr>
          <w:rFonts w:ascii="Times New Roman" w:eastAsiaTheme="minorHAnsi" w:hAnsi="Times New Roman"/>
          <w:bCs/>
          <w:sz w:val="28"/>
          <w:szCs w:val="28"/>
        </w:rPr>
        <w:t>Налог на имущество организаций в 2022 году – 5 597,4 млн. рублей.</w:t>
      </w:r>
    </w:p>
    <w:p w:rsidR="004D0675" w:rsidRPr="001E778D" w:rsidRDefault="004D0675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778D">
        <w:rPr>
          <w:rFonts w:ascii="Times New Roman" w:eastAsiaTheme="minorHAnsi" w:hAnsi="Times New Roman"/>
          <w:bCs/>
          <w:sz w:val="28"/>
          <w:szCs w:val="28"/>
        </w:rPr>
        <w:t xml:space="preserve">Для прогноза использованы показатели ПСЭР ЯО: стоимость основных фондов по остаточной стоимости на конец года, совокупная доля недвижимого имущества в остаточной стоимости основных фондов на конец года, информация организаций о планируемых налоговых платежах.  </w:t>
      </w:r>
    </w:p>
    <w:p w:rsidR="004D0675" w:rsidRPr="001E778D" w:rsidRDefault="004D0675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778D">
        <w:rPr>
          <w:rFonts w:ascii="Times New Roman" w:eastAsiaTheme="minorHAnsi" w:hAnsi="Times New Roman"/>
          <w:bCs/>
          <w:sz w:val="28"/>
          <w:szCs w:val="28"/>
        </w:rPr>
        <w:t>Оценка ожидаемого поступления налога в 2021 году – 5 354,2</w:t>
      </w:r>
      <w:r w:rsidR="000E0F6C" w:rsidRPr="001E778D">
        <w:rPr>
          <w:rFonts w:ascii="Times New Roman" w:eastAsiaTheme="minorHAnsi" w:hAnsi="Times New Roman"/>
          <w:bCs/>
          <w:sz w:val="28"/>
          <w:szCs w:val="28"/>
        </w:rPr>
        <w:t> </w:t>
      </w:r>
      <w:r w:rsidRPr="001E778D">
        <w:rPr>
          <w:rFonts w:ascii="Times New Roman" w:eastAsiaTheme="minorHAnsi" w:hAnsi="Times New Roman"/>
          <w:bCs/>
          <w:sz w:val="28"/>
          <w:szCs w:val="28"/>
        </w:rPr>
        <w:t>млн.</w:t>
      </w:r>
      <w:r w:rsidR="000E0F6C" w:rsidRPr="001E778D">
        <w:rPr>
          <w:rFonts w:ascii="Times New Roman" w:eastAsiaTheme="minorHAnsi" w:hAnsi="Times New Roman"/>
          <w:bCs/>
          <w:sz w:val="28"/>
          <w:szCs w:val="28"/>
        </w:rPr>
        <w:t> </w:t>
      </w:r>
      <w:r w:rsidRPr="001E778D">
        <w:rPr>
          <w:rFonts w:ascii="Times New Roman" w:eastAsiaTheme="minorHAnsi" w:hAnsi="Times New Roman"/>
          <w:bCs/>
          <w:sz w:val="28"/>
          <w:szCs w:val="28"/>
        </w:rPr>
        <w:t>рублей.</w:t>
      </w:r>
    </w:p>
    <w:p w:rsidR="000E0F6C" w:rsidRPr="004D0675" w:rsidRDefault="000E0F6C" w:rsidP="004D0675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4D0675" w:rsidRPr="001E778D" w:rsidRDefault="004D0675" w:rsidP="001E778D">
      <w:pPr>
        <w:spacing w:after="0"/>
        <w:contextualSpacing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1E778D">
        <w:rPr>
          <w:rFonts w:ascii="Times New Roman" w:eastAsiaTheme="minorHAnsi" w:hAnsi="Times New Roman"/>
          <w:bCs/>
          <w:sz w:val="28"/>
          <w:szCs w:val="28"/>
        </w:rPr>
        <w:t>Расчет прогноза по налогу на имущество организаций</w:t>
      </w:r>
    </w:p>
    <w:p w:rsidR="004D0675" w:rsidRPr="004D0675" w:rsidRDefault="004D0675" w:rsidP="004D0675">
      <w:pPr>
        <w:spacing w:after="0"/>
        <w:ind w:right="-143" w:firstLine="708"/>
        <w:contextualSpacing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4D0675">
        <w:rPr>
          <w:rFonts w:ascii="Times New Roman" w:eastAsiaTheme="minorHAnsi" w:hAnsi="Times New Roman"/>
          <w:bCs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bCs/>
          <w:sz w:val="28"/>
          <w:szCs w:val="28"/>
        </w:rPr>
        <w:tab/>
      </w:r>
      <w:r>
        <w:rPr>
          <w:rFonts w:ascii="Times New Roman" w:eastAsiaTheme="minorHAnsi" w:hAnsi="Times New Roman"/>
          <w:bCs/>
          <w:sz w:val="28"/>
          <w:szCs w:val="28"/>
        </w:rPr>
        <w:tab/>
      </w:r>
      <w:r>
        <w:rPr>
          <w:rFonts w:ascii="Times New Roman" w:eastAsiaTheme="minorHAnsi" w:hAnsi="Times New Roman"/>
          <w:bCs/>
          <w:sz w:val="28"/>
          <w:szCs w:val="28"/>
        </w:rPr>
        <w:tab/>
      </w:r>
      <w:r>
        <w:rPr>
          <w:rFonts w:ascii="Times New Roman" w:eastAsiaTheme="minorHAnsi" w:hAnsi="Times New Roman"/>
          <w:bCs/>
          <w:sz w:val="28"/>
          <w:szCs w:val="28"/>
        </w:rPr>
        <w:tab/>
      </w:r>
      <w:r>
        <w:rPr>
          <w:rFonts w:ascii="Times New Roman" w:eastAsiaTheme="minorHAnsi" w:hAnsi="Times New Roman"/>
          <w:bCs/>
          <w:sz w:val="28"/>
          <w:szCs w:val="28"/>
        </w:rPr>
        <w:tab/>
      </w:r>
      <w:r>
        <w:rPr>
          <w:rFonts w:ascii="Times New Roman" w:eastAsiaTheme="minorHAnsi" w:hAnsi="Times New Roman"/>
          <w:bCs/>
          <w:sz w:val="28"/>
          <w:szCs w:val="28"/>
        </w:rPr>
        <w:tab/>
      </w:r>
      <w:r>
        <w:rPr>
          <w:rFonts w:ascii="Times New Roman" w:eastAsiaTheme="minorHAnsi" w:hAnsi="Times New Roman"/>
          <w:bCs/>
          <w:sz w:val="28"/>
          <w:szCs w:val="28"/>
        </w:rPr>
        <w:tab/>
      </w:r>
      <w:r>
        <w:rPr>
          <w:rFonts w:ascii="Times New Roman" w:eastAsiaTheme="minorHAnsi" w:hAnsi="Times New Roman"/>
          <w:bCs/>
          <w:sz w:val="28"/>
          <w:szCs w:val="28"/>
        </w:rPr>
        <w:tab/>
        <w:t xml:space="preserve">                   </w:t>
      </w:r>
      <w:r w:rsidRPr="004D0675">
        <w:rPr>
          <w:rFonts w:ascii="Times New Roman" w:eastAsiaTheme="minorHAnsi" w:hAnsi="Times New Roman"/>
          <w:bCs/>
          <w:sz w:val="28"/>
          <w:szCs w:val="28"/>
        </w:rPr>
        <w:t xml:space="preserve">       </w:t>
      </w:r>
      <w:r>
        <w:rPr>
          <w:rFonts w:ascii="Times New Roman" w:eastAsiaTheme="minorHAnsi" w:hAnsi="Times New Roman"/>
          <w:bCs/>
          <w:sz w:val="24"/>
          <w:szCs w:val="24"/>
        </w:rPr>
        <w:t>млн.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1276"/>
        <w:gridCol w:w="1418"/>
        <w:gridCol w:w="1417"/>
        <w:gridCol w:w="1276"/>
      </w:tblGrid>
      <w:tr w:rsidR="00547F5B" w:rsidRPr="004D0675" w:rsidTr="005272FF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675" w:rsidRPr="000E244E" w:rsidRDefault="004D0675" w:rsidP="000E0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75" w:rsidRPr="000E244E" w:rsidRDefault="004D0675" w:rsidP="000E0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75" w:rsidRPr="000E244E" w:rsidRDefault="004D0675" w:rsidP="004D06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5272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75" w:rsidRPr="000E244E" w:rsidRDefault="004D0675" w:rsidP="004D06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5272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675" w:rsidRPr="000E244E" w:rsidRDefault="004D0675" w:rsidP="004D06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5272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75" w:rsidRPr="000E244E" w:rsidRDefault="004D0675" w:rsidP="004D06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5272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D0675" w:rsidRPr="004D0675" w:rsidTr="005272FF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0E0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675" w:rsidRPr="000E244E" w:rsidRDefault="004D0675" w:rsidP="000E0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основных фондов по остаточной стоимости на конец года (по данным ПСЭР)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1 559 382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1 641 702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1 697 945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1 773 654</w:t>
            </w:r>
          </w:p>
        </w:tc>
      </w:tr>
      <w:tr w:rsidR="004D0675" w:rsidRPr="004D0675" w:rsidTr="005272FF">
        <w:trPr>
          <w:trHeight w:val="7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75" w:rsidRPr="000E244E" w:rsidRDefault="004D0675" w:rsidP="000E0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75" w:rsidRPr="000E244E" w:rsidRDefault="004D0675" w:rsidP="000E0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недвижимого имущества в основных фондах по остаточной стоимости (по данным ПСЭР)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</w:tr>
      <w:tr w:rsidR="004D0675" w:rsidRPr="004D0675" w:rsidTr="005272FF">
        <w:trPr>
          <w:trHeight w:val="5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75" w:rsidRPr="000E244E" w:rsidRDefault="004D0675" w:rsidP="000E0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675" w:rsidRPr="000E244E" w:rsidRDefault="004D0675" w:rsidP="000E0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Остаточная стоимость основных фондов по объектам недвижимого имущества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>1 275 574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>1 354 404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>1 404 201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>1 4</w:t>
            </w:r>
            <w:r w:rsidR="00DB6AD8" w:rsidRPr="000E244E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 xml:space="preserve"> 359</w:t>
            </w:r>
          </w:p>
        </w:tc>
      </w:tr>
      <w:tr w:rsidR="004D0675" w:rsidRPr="004D0675" w:rsidTr="005272FF">
        <w:trPr>
          <w:trHeight w:val="7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75" w:rsidRPr="000E244E" w:rsidRDefault="004D0675" w:rsidP="000E0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675" w:rsidRPr="000E244E" w:rsidRDefault="004D0675" w:rsidP="000E0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Среднегодовая остаточная стоимость основных фондов по объектам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>1 251 311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>1 314 989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>1 379 302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>1 437 280</w:t>
            </w:r>
          </w:p>
        </w:tc>
      </w:tr>
      <w:tr w:rsidR="004D0675" w:rsidRPr="004D0675" w:rsidTr="005272FF">
        <w:trPr>
          <w:trHeight w:val="4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75" w:rsidRPr="000E244E" w:rsidRDefault="004D0675" w:rsidP="000E0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675" w:rsidRPr="000E244E" w:rsidRDefault="004D0675" w:rsidP="000E0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Темп роста среднегодовой остаточной стоимости </w:t>
            </w: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E244E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>105,09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>104,89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>104,20</w:t>
            </w:r>
          </w:p>
        </w:tc>
      </w:tr>
      <w:tr w:rsidR="004D0675" w:rsidRPr="004D0675" w:rsidTr="005272FF">
        <w:trPr>
          <w:trHeight w:val="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75" w:rsidRPr="000E244E" w:rsidRDefault="004D0675" w:rsidP="000E0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75" w:rsidRPr="000E244E" w:rsidRDefault="004D0675" w:rsidP="000E0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Ожидаемое поступление налога, без учета налога, </w:t>
            </w:r>
            <w:r w:rsidR="002E74BD" w:rsidRPr="000E244E">
              <w:rPr>
                <w:rFonts w:ascii="Times New Roman" w:eastAsiaTheme="minorHAnsi" w:hAnsi="Times New Roman"/>
                <w:bCs/>
                <w:sz w:val="24"/>
                <w:szCs w:val="24"/>
              </w:rPr>
              <w:t>в части</w:t>
            </w:r>
            <w:r w:rsidRPr="000E244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железнодорожных путей общего пользования</w:t>
            </w: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 налога, рассчитанного исходя  кадастровой стоимости     имущества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 xml:space="preserve"> 4 733,5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 xml:space="preserve"> 4 974,4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 xml:space="preserve"> 5 217,7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 xml:space="preserve"> 5 436,8   </w:t>
            </w:r>
          </w:p>
        </w:tc>
      </w:tr>
      <w:tr w:rsidR="004D0675" w:rsidRPr="004D0675" w:rsidTr="005272FF">
        <w:trPr>
          <w:trHeight w:val="1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75" w:rsidRPr="000E244E" w:rsidRDefault="004D0675" w:rsidP="000E0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675" w:rsidRPr="000E244E" w:rsidRDefault="004D0675" w:rsidP="000E0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Поступление налога в части</w:t>
            </w:r>
            <w:r w:rsidRPr="000E244E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железнодорожных путей общего пользования</w:t>
            </w: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 налога, рассчитанного исходя  кадастровой стоимости     имущества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683,1</w:t>
            </w:r>
          </w:p>
        </w:tc>
      </w:tr>
      <w:tr w:rsidR="004D0675" w:rsidRPr="004D0675" w:rsidTr="005272FF">
        <w:trPr>
          <w:trHeight w:val="4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75" w:rsidRPr="000E244E" w:rsidRDefault="004D0675" w:rsidP="000E0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675" w:rsidRPr="000E244E" w:rsidRDefault="004D0675" w:rsidP="000E0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Прогноз поступления налога на имущество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>5 354,2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>5 612,4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>5 855,7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244E">
              <w:rPr>
                <w:rFonts w:ascii="Times New Roman" w:eastAsiaTheme="minorHAnsi" w:hAnsi="Times New Roman"/>
                <w:sz w:val="24"/>
                <w:szCs w:val="24"/>
              </w:rPr>
              <w:t>6 119,9</w:t>
            </w:r>
          </w:p>
        </w:tc>
      </w:tr>
      <w:tr w:rsidR="004D0675" w:rsidRPr="004D0675" w:rsidTr="005272FF">
        <w:trPr>
          <w:trHeight w:val="3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0E0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675" w:rsidRPr="000E244E" w:rsidRDefault="004D0675" w:rsidP="000E0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Выпадающие доходы в результате внесения изменений в региональное налоговое законодательство по установлению налоговых льгот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47F5B" w:rsidRPr="004D0675" w:rsidTr="005272FF">
        <w:trPr>
          <w:trHeight w:val="315"/>
        </w:trPr>
        <w:tc>
          <w:tcPr>
            <w:tcW w:w="5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675" w:rsidRPr="000E244E" w:rsidRDefault="004D0675" w:rsidP="000E0F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0675" w:rsidRPr="000E244E" w:rsidRDefault="004D0675" w:rsidP="000E0F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Прогноз поступления налога на имущество организаций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5 354,2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5 597,4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5 855,7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675" w:rsidRPr="000E244E" w:rsidRDefault="004D0675" w:rsidP="005272F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4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6 119,9</w:t>
            </w:r>
          </w:p>
        </w:tc>
      </w:tr>
    </w:tbl>
    <w:p w:rsidR="004D0675" w:rsidRPr="004D0675" w:rsidRDefault="004D0675" w:rsidP="004D0675">
      <w:pPr>
        <w:spacing w:after="0"/>
        <w:ind w:firstLine="708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4D0675" w:rsidRPr="001E778D" w:rsidRDefault="004D0675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778D">
        <w:rPr>
          <w:rFonts w:ascii="Times New Roman" w:eastAsiaTheme="minorHAnsi" w:hAnsi="Times New Roman"/>
          <w:bCs/>
          <w:sz w:val="28"/>
          <w:szCs w:val="28"/>
        </w:rPr>
        <w:t>Поступление налога</w:t>
      </w:r>
      <w:r w:rsidR="005A7296" w:rsidRPr="001E778D">
        <w:rPr>
          <w:rFonts w:ascii="Times New Roman" w:eastAsiaTheme="minorHAnsi" w:hAnsi="Times New Roman"/>
          <w:bCs/>
          <w:sz w:val="28"/>
          <w:szCs w:val="28"/>
        </w:rPr>
        <w:t xml:space="preserve"> в части</w:t>
      </w:r>
      <w:r w:rsidRPr="001E778D">
        <w:rPr>
          <w:rFonts w:ascii="Times New Roman" w:eastAsiaTheme="minorHAnsi" w:hAnsi="Times New Roman"/>
          <w:bCs/>
          <w:sz w:val="28"/>
          <w:szCs w:val="28"/>
        </w:rPr>
        <w:t xml:space="preserve"> железнодорожных путей общего пользования и сооружений, являющихся их неотъемлемой технологической частью, а также объектов недвижимого имущества, в отношении которых налоговая база исчисляется исходя из кадастровой стоимости, определено на основании отчета  Федеральной налоговой службы 5-НИО «О налоговой базе и структуре начислений по налогу на имущество организаций» за 2020 год.</w:t>
      </w:r>
    </w:p>
    <w:p w:rsidR="004D0675" w:rsidRPr="001E778D" w:rsidRDefault="004D0675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778D">
        <w:rPr>
          <w:rFonts w:ascii="Times New Roman" w:eastAsiaTheme="minorHAnsi" w:hAnsi="Times New Roman"/>
          <w:bCs/>
          <w:sz w:val="28"/>
          <w:szCs w:val="28"/>
        </w:rPr>
        <w:t>В соответствии с положениями Налогового кодекса Российской Фед</w:t>
      </w:r>
      <w:r w:rsidR="004C336A" w:rsidRPr="001E778D">
        <w:rPr>
          <w:rFonts w:ascii="Times New Roman" w:eastAsiaTheme="minorHAnsi" w:hAnsi="Times New Roman"/>
          <w:bCs/>
          <w:sz w:val="28"/>
          <w:szCs w:val="28"/>
        </w:rPr>
        <w:t>ерации ставка налога в части</w:t>
      </w:r>
      <w:r w:rsidRPr="001E778D">
        <w:rPr>
          <w:rFonts w:ascii="Times New Roman" w:eastAsiaTheme="minorHAnsi" w:hAnsi="Times New Roman"/>
          <w:bCs/>
          <w:sz w:val="28"/>
          <w:szCs w:val="28"/>
        </w:rPr>
        <w:t xml:space="preserve"> железнодорожных путей общего пользования и сооружений, являющихся их неотъемлемой технологической частью, сохраня</w:t>
      </w:r>
      <w:r w:rsidR="004C336A" w:rsidRPr="001E778D">
        <w:rPr>
          <w:rFonts w:ascii="Times New Roman" w:eastAsiaTheme="minorHAnsi" w:hAnsi="Times New Roman"/>
          <w:bCs/>
          <w:sz w:val="28"/>
          <w:szCs w:val="28"/>
        </w:rPr>
        <w:t>ется до 2024 года на уровне 2020</w:t>
      </w:r>
      <w:r w:rsidRPr="001E778D">
        <w:rPr>
          <w:rFonts w:ascii="Times New Roman" w:eastAsiaTheme="minorHAnsi" w:hAnsi="Times New Roman"/>
          <w:bCs/>
          <w:sz w:val="28"/>
          <w:szCs w:val="28"/>
        </w:rPr>
        <w:t xml:space="preserve"> года в размере 1,6%. На 2022 год увеличение налога организациями не планируется. Прогноз на 2024 определен по ставке 2,2%. </w:t>
      </w:r>
    </w:p>
    <w:p w:rsidR="004D0675" w:rsidRPr="001E778D" w:rsidRDefault="004D0675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778D">
        <w:rPr>
          <w:rFonts w:ascii="Times New Roman" w:eastAsiaTheme="minorHAnsi" w:hAnsi="Times New Roman"/>
          <w:bCs/>
          <w:sz w:val="28"/>
          <w:szCs w:val="28"/>
        </w:rPr>
        <w:t>Государственная кадастровая оценка объектов капитального строительства будет произведена в 2023 году.</w:t>
      </w:r>
    </w:p>
    <w:p w:rsidR="004D0675" w:rsidRPr="001E778D" w:rsidRDefault="004D0675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778D">
        <w:rPr>
          <w:rFonts w:ascii="Times New Roman" w:eastAsiaTheme="minorHAnsi" w:hAnsi="Times New Roman"/>
          <w:bCs/>
          <w:sz w:val="28"/>
          <w:szCs w:val="28"/>
        </w:rPr>
        <w:t>В прогнозе учтены приходящиеся на 1 квартал 2022 года выпадающие доходы по налогу на имущество организаций в сумме 15,0 млн.</w:t>
      </w:r>
      <w:r w:rsidR="00D92CA3" w:rsidRPr="001E778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E778D">
        <w:rPr>
          <w:rFonts w:ascii="Times New Roman" w:eastAsiaTheme="minorHAnsi" w:hAnsi="Times New Roman"/>
          <w:bCs/>
          <w:sz w:val="28"/>
          <w:szCs w:val="28"/>
        </w:rPr>
        <w:t>руб</w:t>
      </w:r>
      <w:r w:rsidR="00D92CA3" w:rsidRPr="001E778D">
        <w:rPr>
          <w:rFonts w:ascii="Times New Roman" w:eastAsiaTheme="minorHAnsi" w:hAnsi="Times New Roman"/>
          <w:bCs/>
          <w:sz w:val="28"/>
          <w:szCs w:val="28"/>
        </w:rPr>
        <w:t>лей</w:t>
      </w:r>
      <w:r w:rsidRPr="001E778D">
        <w:rPr>
          <w:rFonts w:ascii="Times New Roman" w:eastAsiaTheme="minorHAnsi" w:hAnsi="Times New Roman"/>
          <w:bCs/>
          <w:sz w:val="28"/>
          <w:szCs w:val="28"/>
        </w:rPr>
        <w:t xml:space="preserve"> в результате предоставления льготы по налогу за 2021 год  организациям, осуществляющим распределение газообразного топлива по газораспределительным сетям. </w:t>
      </w:r>
    </w:p>
    <w:p w:rsidR="005F7790" w:rsidRPr="001E778D" w:rsidRDefault="009D77D8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lastRenderedPageBreak/>
        <w:t>Транспортный налог</w:t>
      </w:r>
      <w:r w:rsidR="005F7790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="00507D59" w:rsidRPr="001E778D">
        <w:rPr>
          <w:rFonts w:ascii="Times New Roman" w:eastAsiaTheme="minorHAnsi" w:hAnsi="Times New Roman"/>
          <w:sz w:val="28"/>
          <w:szCs w:val="28"/>
        </w:rPr>
        <w:t>в</w:t>
      </w:r>
      <w:r w:rsidR="00507D59" w:rsidRPr="001E77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507D59" w:rsidRPr="001E778D">
        <w:rPr>
          <w:rFonts w:ascii="Times New Roman" w:eastAsiaTheme="minorHAnsi" w:hAnsi="Times New Roman"/>
          <w:bCs/>
          <w:sz w:val="28"/>
          <w:szCs w:val="28"/>
        </w:rPr>
        <w:t xml:space="preserve">2022 году </w:t>
      </w:r>
      <w:r w:rsidR="005F7790" w:rsidRPr="001E778D">
        <w:rPr>
          <w:rFonts w:ascii="Times New Roman" w:eastAsiaTheme="minorHAnsi" w:hAnsi="Times New Roman"/>
          <w:bCs/>
          <w:sz w:val="28"/>
          <w:szCs w:val="28"/>
        </w:rPr>
        <w:t>– 1</w:t>
      </w:r>
      <w:r w:rsidR="00507D59" w:rsidRPr="001E778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F7790" w:rsidRPr="001E778D">
        <w:rPr>
          <w:rFonts w:ascii="Times New Roman" w:eastAsiaTheme="minorHAnsi" w:hAnsi="Times New Roman"/>
          <w:bCs/>
          <w:sz w:val="28"/>
          <w:szCs w:val="28"/>
        </w:rPr>
        <w:t xml:space="preserve">532,5  млн. рублей, рост к ожидаемому </w:t>
      </w:r>
      <w:r w:rsidR="000E0F6C" w:rsidRPr="001E778D">
        <w:rPr>
          <w:rFonts w:ascii="Times New Roman" w:eastAsiaTheme="minorHAnsi" w:hAnsi="Times New Roman"/>
          <w:bCs/>
          <w:sz w:val="28"/>
          <w:szCs w:val="28"/>
        </w:rPr>
        <w:t xml:space="preserve">исполнению 2021 года </w:t>
      </w:r>
      <w:r w:rsidR="005F7790" w:rsidRPr="001E778D">
        <w:rPr>
          <w:rFonts w:ascii="Times New Roman" w:eastAsiaTheme="minorHAnsi" w:hAnsi="Times New Roman"/>
          <w:bCs/>
          <w:sz w:val="28"/>
          <w:szCs w:val="28"/>
        </w:rPr>
        <w:t xml:space="preserve">на </w:t>
      </w:r>
      <w:r w:rsidRPr="001E778D">
        <w:rPr>
          <w:rFonts w:ascii="Times New Roman" w:eastAsiaTheme="minorHAnsi" w:hAnsi="Times New Roman"/>
          <w:bCs/>
          <w:sz w:val="28"/>
          <w:szCs w:val="28"/>
        </w:rPr>
        <w:t xml:space="preserve">6,4% или на </w:t>
      </w:r>
      <w:r w:rsidR="005F7790" w:rsidRPr="001E778D">
        <w:rPr>
          <w:rFonts w:ascii="Times New Roman" w:eastAsiaTheme="minorHAnsi" w:hAnsi="Times New Roman"/>
          <w:bCs/>
          <w:sz w:val="28"/>
          <w:szCs w:val="28"/>
        </w:rPr>
        <w:t>92,4 млн.</w:t>
      </w:r>
      <w:r w:rsidR="00D53BA4" w:rsidRPr="001E778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F7790" w:rsidRPr="001E778D">
        <w:rPr>
          <w:rFonts w:ascii="Times New Roman" w:eastAsiaTheme="minorHAnsi" w:hAnsi="Times New Roman"/>
          <w:bCs/>
          <w:sz w:val="28"/>
          <w:szCs w:val="28"/>
        </w:rPr>
        <w:t>руб</w:t>
      </w:r>
      <w:r w:rsidRPr="001E778D">
        <w:rPr>
          <w:rFonts w:ascii="Times New Roman" w:eastAsiaTheme="minorHAnsi" w:hAnsi="Times New Roman"/>
          <w:bCs/>
          <w:sz w:val="28"/>
          <w:szCs w:val="28"/>
        </w:rPr>
        <w:t>лей</w:t>
      </w:r>
      <w:r w:rsidR="005F7790" w:rsidRPr="001E778D">
        <w:rPr>
          <w:rFonts w:ascii="Times New Roman" w:eastAsiaTheme="minorHAnsi" w:hAnsi="Times New Roman"/>
          <w:bCs/>
          <w:sz w:val="28"/>
          <w:szCs w:val="28"/>
        </w:rPr>
        <w:t>.</w:t>
      </w:r>
      <w:r w:rsidR="00D63FFA" w:rsidRPr="001E778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F7790" w:rsidRPr="001E778D">
        <w:rPr>
          <w:rFonts w:ascii="Times New Roman" w:eastAsiaTheme="minorHAnsi" w:hAnsi="Times New Roman"/>
          <w:bCs/>
          <w:sz w:val="28"/>
          <w:szCs w:val="28"/>
        </w:rPr>
        <w:t>Прогноз рассчитан исходя из ожидаемого поступления в 2021 году в сумме 1</w:t>
      </w:r>
      <w:r w:rsidR="000E0F6C" w:rsidRPr="001E778D">
        <w:rPr>
          <w:rFonts w:ascii="Times New Roman" w:eastAsiaTheme="minorHAnsi" w:hAnsi="Times New Roman"/>
          <w:bCs/>
          <w:sz w:val="28"/>
          <w:szCs w:val="28"/>
        </w:rPr>
        <w:t> </w:t>
      </w:r>
      <w:r w:rsidR="005F7790" w:rsidRPr="001E778D">
        <w:rPr>
          <w:rFonts w:ascii="Times New Roman" w:eastAsiaTheme="minorHAnsi" w:hAnsi="Times New Roman"/>
          <w:bCs/>
          <w:sz w:val="28"/>
          <w:szCs w:val="28"/>
        </w:rPr>
        <w:t>440,1</w:t>
      </w:r>
      <w:r w:rsidR="000E0F6C" w:rsidRPr="001E778D">
        <w:rPr>
          <w:rFonts w:ascii="Times New Roman" w:eastAsiaTheme="minorHAnsi" w:hAnsi="Times New Roman"/>
          <w:bCs/>
          <w:sz w:val="28"/>
          <w:szCs w:val="28"/>
        </w:rPr>
        <w:t> </w:t>
      </w:r>
      <w:r w:rsidR="005F7790" w:rsidRPr="001E778D">
        <w:rPr>
          <w:rFonts w:ascii="Times New Roman" w:eastAsiaTheme="minorHAnsi" w:hAnsi="Times New Roman"/>
          <w:bCs/>
          <w:sz w:val="28"/>
          <w:szCs w:val="28"/>
        </w:rPr>
        <w:t>млн. рублей с учетом показателей</w:t>
      </w:r>
      <w:r w:rsidR="000A5974" w:rsidRPr="001E778D">
        <w:rPr>
          <w:rFonts w:ascii="Times New Roman" w:eastAsiaTheme="minorHAnsi" w:hAnsi="Times New Roman"/>
          <w:bCs/>
          <w:sz w:val="28"/>
          <w:szCs w:val="28"/>
        </w:rPr>
        <w:t xml:space="preserve"> ПСЭР ЯО </w:t>
      </w:r>
      <w:r w:rsidR="005F7790" w:rsidRPr="001E778D">
        <w:rPr>
          <w:rFonts w:ascii="Times New Roman" w:eastAsiaTheme="minorHAnsi" w:hAnsi="Times New Roman"/>
          <w:bCs/>
          <w:sz w:val="28"/>
          <w:szCs w:val="28"/>
        </w:rPr>
        <w:t xml:space="preserve">– наличие автомобилей всего, наличие легковых автомобилей у индивидуальных владельцев.  </w:t>
      </w:r>
    </w:p>
    <w:p w:rsidR="005F7790" w:rsidRPr="001E778D" w:rsidRDefault="005F7790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778D">
        <w:rPr>
          <w:rFonts w:ascii="Times New Roman" w:eastAsiaTheme="minorHAnsi" w:hAnsi="Times New Roman"/>
          <w:bCs/>
          <w:sz w:val="28"/>
          <w:szCs w:val="28"/>
        </w:rPr>
        <w:t xml:space="preserve">Расчет поступления налога в 2022 году: </w:t>
      </w:r>
    </w:p>
    <w:p w:rsidR="005F7790" w:rsidRPr="005F7790" w:rsidRDefault="005F7790" w:rsidP="005F779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F7790">
        <w:rPr>
          <w:rFonts w:ascii="Times New Roman" w:eastAsiaTheme="minorHAnsi" w:hAnsi="Times New Roman"/>
          <w:sz w:val="28"/>
          <w:szCs w:val="28"/>
        </w:rPr>
        <w:t>(255,5 * 101,5%) + (1</w:t>
      </w:r>
      <w:r w:rsidR="008C38AE">
        <w:rPr>
          <w:rFonts w:ascii="Times New Roman" w:eastAsiaTheme="minorHAnsi" w:hAnsi="Times New Roman"/>
          <w:sz w:val="28"/>
          <w:szCs w:val="28"/>
        </w:rPr>
        <w:t xml:space="preserve"> </w:t>
      </w:r>
      <w:r w:rsidRPr="005F7790">
        <w:rPr>
          <w:rFonts w:ascii="Times New Roman" w:eastAsiaTheme="minorHAnsi" w:hAnsi="Times New Roman"/>
          <w:sz w:val="28"/>
          <w:szCs w:val="28"/>
        </w:rPr>
        <w:t>184,6 *</w:t>
      </w:r>
      <w:r w:rsidR="00310F18">
        <w:rPr>
          <w:rFonts w:ascii="Times New Roman" w:eastAsiaTheme="minorHAnsi" w:hAnsi="Times New Roman"/>
          <w:sz w:val="28"/>
          <w:szCs w:val="28"/>
        </w:rPr>
        <w:t xml:space="preserve"> 105,3%</w:t>
      </w:r>
      <w:r w:rsidR="00496B66">
        <w:rPr>
          <w:rFonts w:ascii="Times New Roman" w:eastAsiaTheme="minorHAnsi" w:hAnsi="Times New Roman"/>
          <w:sz w:val="28"/>
          <w:szCs w:val="28"/>
        </w:rPr>
        <w:t xml:space="preserve"> </w:t>
      </w:r>
      <w:r w:rsidR="00310F18">
        <w:rPr>
          <w:rFonts w:ascii="Times New Roman" w:eastAsiaTheme="minorHAnsi" w:hAnsi="Times New Roman"/>
          <w:sz w:val="28"/>
          <w:szCs w:val="28"/>
        </w:rPr>
        <w:t>+</w:t>
      </w:r>
      <w:r w:rsidR="00496B66">
        <w:rPr>
          <w:rFonts w:ascii="Times New Roman" w:eastAsiaTheme="minorHAnsi" w:hAnsi="Times New Roman"/>
          <w:sz w:val="28"/>
          <w:szCs w:val="28"/>
        </w:rPr>
        <w:t xml:space="preserve"> </w:t>
      </w:r>
      <w:r w:rsidR="00310F18">
        <w:rPr>
          <w:rFonts w:ascii="Times New Roman" w:eastAsiaTheme="minorHAnsi" w:hAnsi="Times New Roman"/>
          <w:sz w:val="28"/>
          <w:szCs w:val="28"/>
        </w:rPr>
        <w:t>25,8) = 1</w:t>
      </w:r>
      <w:r w:rsidR="008C38AE">
        <w:rPr>
          <w:rFonts w:ascii="Times New Roman" w:eastAsiaTheme="minorHAnsi" w:hAnsi="Times New Roman"/>
          <w:sz w:val="28"/>
          <w:szCs w:val="28"/>
        </w:rPr>
        <w:t xml:space="preserve"> </w:t>
      </w:r>
      <w:r w:rsidR="00310F18">
        <w:rPr>
          <w:rFonts w:ascii="Times New Roman" w:eastAsiaTheme="minorHAnsi" w:hAnsi="Times New Roman"/>
          <w:sz w:val="28"/>
          <w:szCs w:val="28"/>
        </w:rPr>
        <w:t>532,5 млн. рублей</w:t>
      </w:r>
      <w:r w:rsidRPr="005F7790">
        <w:rPr>
          <w:rFonts w:ascii="Times New Roman" w:eastAsiaTheme="minorHAnsi" w:hAnsi="Times New Roman"/>
          <w:sz w:val="28"/>
          <w:szCs w:val="28"/>
        </w:rPr>
        <w:t xml:space="preserve">, где: </w:t>
      </w:r>
    </w:p>
    <w:p w:rsidR="005F7790" w:rsidRPr="001E778D" w:rsidRDefault="00310F18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- 255,5 млн. рублей</w:t>
      </w:r>
      <w:r w:rsidR="005F7790" w:rsidRPr="001E778D">
        <w:rPr>
          <w:rFonts w:ascii="Times New Roman" w:eastAsiaTheme="minorHAnsi" w:hAnsi="Times New Roman"/>
          <w:sz w:val="28"/>
          <w:szCs w:val="28"/>
        </w:rPr>
        <w:t xml:space="preserve"> – оценка ожидаемого поступления в 2021 году транспортного налога, уплачиваемого организациями;</w:t>
      </w:r>
    </w:p>
    <w:p w:rsidR="005F7790" w:rsidRPr="001E778D" w:rsidRDefault="005F7790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- 101,5% – темп роста транспортных средств у организаций в 2022 году;</w:t>
      </w:r>
    </w:p>
    <w:p w:rsidR="005F7790" w:rsidRPr="001E778D" w:rsidRDefault="00310F18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- 1</w:t>
      </w:r>
      <w:r w:rsidR="00C1568E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E778D">
        <w:rPr>
          <w:rFonts w:ascii="Times New Roman" w:eastAsiaTheme="minorHAnsi" w:hAnsi="Times New Roman"/>
          <w:sz w:val="28"/>
          <w:szCs w:val="28"/>
        </w:rPr>
        <w:t>184,6 млн. рублей</w:t>
      </w:r>
      <w:r w:rsidR="005F7790" w:rsidRPr="001E778D">
        <w:rPr>
          <w:rFonts w:ascii="Times New Roman" w:eastAsiaTheme="minorHAnsi" w:hAnsi="Times New Roman"/>
          <w:sz w:val="28"/>
          <w:szCs w:val="28"/>
        </w:rPr>
        <w:t xml:space="preserve"> – оценка ожидаемого поступления в 2021 году транспортного налога, уплачиваемого физическими лицами;</w:t>
      </w:r>
    </w:p>
    <w:p w:rsidR="005F7790" w:rsidRPr="001E778D" w:rsidRDefault="005F7790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 xml:space="preserve">- 105,3% – темп роста 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 xml:space="preserve">количества </w:t>
      </w:r>
      <w:r w:rsidRPr="001E778D">
        <w:rPr>
          <w:rFonts w:ascii="Times New Roman" w:eastAsiaTheme="minorHAnsi" w:hAnsi="Times New Roman"/>
          <w:sz w:val="28"/>
          <w:szCs w:val="28"/>
        </w:rPr>
        <w:t>легковых автомобилей у индивидуальных владельцев в 2021 году;</w:t>
      </w:r>
    </w:p>
    <w:p w:rsidR="005F7790" w:rsidRPr="001E778D" w:rsidRDefault="00310F18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- 25,8 млн.</w:t>
      </w:r>
      <w:r w:rsidR="00C1568E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E778D">
        <w:rPr>
          <w:rFonts w:ascii="Times New Roman" w:eastAsiaTheme="minorHAnsi" w:hAnsi="Times New Roman"/>
          <w:sz w:val="28"/>
          <w:szCs w:val="28"/>
        </w:rPr>
        <w:t>рублей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 xml:space="preserve"> – </w:t>
      </w:r>
      <w:r w:rsidR="005F7790" w:rsidRPr="001E778D">
        <w:rPr>
          <w:rFonts w:ascii="Times New Roman" w:eastAsia="Calibri" w:hAnsi="Times New Roman"/>
          <w:color w:val="000000"/>
          <w:sz w:val="28"/>
          <w:szCs w:val="28"/>
        </w:rPr>
        <w:t xml:space="preserve">дополнительные доходы в связи </w:t>
      </w:r>
      <w:r w:rsidR="00D53BA4" w:rsidRPr="001E778D">
        <w:rPr>
          <w:rFonts w:ascii="Times New Roman" w:eastAsia="Calibri" w:hAnsi="Times New Roman"/>
          <w:color w:val="000000"/>
          <w:sz w:val="28"/>
          <w:szCs w:val="28"/>
        </w:rPr>
        <w:t xml:space="preserve">с прекращением действия </w:t>
      </w:r>
      <w:r w:rsidR="005F7790" w:rsidRPr="001E778D">
        <w:rPr>
          <w:rFonts w:ascii="Times New Roman" w:eastAsia="Calibri" w:hAnsi="Times New Roman"/>
          <w:color w:val="000000"/>
          <w:sz w:val="28"/>
          <w:szCs w:val="28"/>
        </w:rPr>
        <w:t>федеральной льготы индивидуальным предпринимателям, осуществляющим деятельность в отраслях российской экономики, в наибольшей степени пострадавших в условиях ухудшения ситуации в результате распространен</w:t>
      </w:r>
      <w:r w:rsidR="00D53BA4" w:rsidRPr="001E778D">
        <w:rPr>
          <w:rFonts w:ascii="Times New Roman" w:eastAsia="Calibri" w:hAnsi="Times New Roman"/>
          <w:color w:val="000000"/>
          <w:sz w:val="28"/>
          <w:szCs w:val="28"/>
        </w:rPr>
        <w:t>ия новой корона</w:t>
      </w:r>
      <w:r w:rsidR="005F7790" w:rsidRPr="001E778D">
        <w:rPr>
          <w:rFonts w:ascii="Times New Roman" w:eastAsia="Calibri" w:hAnsi="Times New Roman"/>
          <w:color w:val="000000"/>
          <w:sz w:val="28"/>
          <w:szCs w:val="28"/>
        </w:rPr>
        <w:t>вирусной инфекции (освобождение от уплаты налога за период с 1 апреля по 30 июня 2020 года)</w:t>
      </w:r>
      <w:r w:rsidR="005F7790" w:rsidRPr="001E778D">
        <w:rPr>
          <w:rFonts w:ascii="Times New Roman" w:eastAsiaTheme="minorHAnsi" w:hAnsi="Times New Roman"/>
          <w:sz w:val="28"/>
          <w:szCs w:val="28"/>
        </w:rPr>
        <w:t>.</w:t>
      </w:r>
    </w:p>
    <w:p w:rsidR="005F7790" w:rsidRPr="001E778D" w:rsidRDefault="005F7790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Прогноз поступления налога:</w:t>
      </w:r>
    </w:p>
    <w:p w:rsidR="005F7790" w:rsidRPr="001E778D" w:rsidRDefault="000A5974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в 2023 году – 1</w:t>
      </w:r>
      <w:r w:rsidR="00951B4F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E778D">
        <w:rPr>
          <w:rFonts w:ascii="Times New Roman" w:eastAsiaTheme="minorHAnsi" w:hAnsi="Times New Roman"/>
          <w:sz w:val="28"/>
          <w:szCs w:val="28"/>
        </w:rPr>
        <w:t>558,2 млн. рублей</w:t>
      </w:r>
      <w:r w:rsidR="005F7790" w:rsidRPr="001E778D">
        <w:rPr>
          <w:rFonts w:ascii="Times New Roman" w:eastAsiaTheme="minorHAnsi" w:hAnsi="Times New Roman"/>
          <w:sz w:val="28"/>
          <w:szCs w:val="28"/>
        </w:rPr>
        <w:t xml:space="preserve">, при 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 xml:space="preserve">темпе роста наличия автомобилей – </w:t>
      </w:r>
      <w:r w:rsidR="005F7790" w:rsidRPr="001E778D">
        <w:rPr>
          <w:rFonts w:ascii="Times New Roman" w:eastAsiaTheme="minorHAnsi" w:hAnsi="Times New Roman"/>
          <w:sz w:val="28"/>
          <w:szCs w:val="28"/>
        </w:rPr>
        <w:t xml:space="preserve">101,4%; </w:t>
      </w:r>
    </w:p>
    <w:p w:rsidR="005F7790" w:rsidRPr="001E778D" w:rsidRDefault="005F7790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>в 2024 году – 1</w:t>
      </w:r>
      <w:r w:rsidR="00951B4F" w:rsidRPr="001E778D">
        <w:rPr>
          <w:rFonts w:ascii="Times New Roman" w:eastAsiaTheme="minorHAnsi" w:hAnsi="Times New Roman"/>
          <w:sz w:val="28"/>
          <w:szCs w:val="28"/>
        </w:rPr>
        <w:t xml:space="preserve"> </w:t>
      </w:r>
      <w:r w:rsidR="00375711" w:rsidRPr="001E778D">
        <w:rPr>
          <w:rFonts w:ascii="Times New Roman" w:eastAsiaTheme="minorHAnsi" w:hAnsi="Times New Roman"/>
          <w:sz w:val="28"/>
          <w:szCs w:val="28"/>
        </w:rPr>
        <w:t>5</w:t>
      </w:r>
      <w:r w:rsidRPr="001E778D">
        <w:rPr>
          <w:rFonts w:ascii="Times New Roman" w:eastAsiaTheme="minorHAnsi" w:hAnsi="Times New Roman"/>
          <w:sz w:val="28"/>
          <w:szCs w:val="28"/>
        </w:rPr>
        <w:t>81,1 млн. руб</w:t>
      </w:r>
      <w:r w:rsidR="000A5974" w:rsidRPr="001E778D">
        <w:rPr>
          <w:rFonts w:ascii="Times New Roman" w:eastAsiaTheme="minorHAnsi" w:hAnsi="Times New Roman"/>
          <w:sz w:val="28"/>
          <w:szCs w:val="28"/>
        </w:rPr>
        <w:t>лей,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 при </w:t>
      </w:r>
      <w:r w:rsidR="000E0F6C" w:rsidRPr="001E778D">
        <w:rPr>
          <w:rFonts w:ascii="Times New Roman" w:eastAsiaTheme="minorHAnsi" w:hAnsi="Times New Roman"/>
          <w:sz w:val="28"/>
          <w:szCs w:val="28"/>
        </w:rPr>
        <w:t xml:space="preserve">темпе роста наличия автомобилей – 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101,5%. </w:t>
      </w:r>
    </w:p>
    <w:p w:rsidR="005F7790" w:rsidRPr="001E778D" w:rsidRDefault="0022601E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E778D">
        <w:rPr>
          <w:rFonts w:ascii="Times New Roman" w:eastAsia="Calibri" w:hAnsi="Times New Roman"/>
          <w:sz w:val="28"/>
          <w:szCs w:val="28"/>
        </w:rPr>
        <w:t>Государственная пошлина</w:t>
      </w:r>
      <w:r w:rsidR="005F7790" w:rsidRPr="001E778D">
        <w:rPr>
          <w:rFonts w:ascii="Times New Roman" w:eastAsia="Calibri" w:hAnsi="Times New Roman"/>
          <w:sz w:val="28"/>
          <w:szCs w:val="28"/>
        </w:rPr>
        <w:t xml:space="preserve"> в 2022 году – 195,9 млн. руб</w:t>
      </w:r>
      <w:r w:rsidR="00D13F15" w:rsidRPr="001E778D">
        <w:rPr>
          <w:rFonts w:ascii="Times New Roman" w:eastAsia="Calibri" w:hAnsi="Times New Roman"/>
          <w:sz w:val="28"/>
          <w:szCs w:val="28"/>
        </w:rPr>
        <w:t>лей</w:t>
      </w:r>
      <w:r w:rsidR="005F7790" w:rsidRPr="001E778D">
        <w:rPr>
          <w:rFonts w:ascii="Times New Roman" w:eastAsia="Calibri" w:hAnsi="Times New Roman"/>
          <w:sz w:val="28"/>
          <w:szCs w:val="28"/>
        </w:rPr>
        <w:t>. Прогноз предоставлен главными администраторами доходов:</w:t>
      </w:r>
    </w:p>
    <w:p w:rsidR="005F7790" w:rsidRPr="001E778D" w:rsidRDefault="00D13F15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E778D">
        <w:rPr>
          <w:rFonts w:ascii="Times New Roman" w:eastAsia="Calibri" w:hAnsi="Times New Roman"/>
          <w:sz w:val="28"/>
          <w:szCs w:val="28"/>
        </w:rPr>
        <w:t>- 159,9 млн. рублей</w:t>
      </w:r>
      <w:r w:rsidR="005F7790" w:rsidRPr="001E778D">
        <w:rPr>
          <w:rFonts w:ascii="Times New Roman" w:eastAsia="Calibri" w:hAnsi="Times New Roman"/>
          <w:sz w:val="28"/>
          <w:szCs w:val="28"/>
        </w:rPr>
        <w:t xml:space="preserve"> – гос</w:t>
      </w:r>
      <w:r w:rsidR="005272FF">
        <w:rPr>
          <w:rFonts w:ascii="Times New Roman" w:eastAsia="Calibri" w:hAnsi="Times New Roman"/>
          <w:sz w:val="28"/>
          <w:szCs w:val="28"/>
        </w:rPr>
        <w:t>ударственная</w:t>
      </w:r>
      <w:r w:rsidR="000E0F6C" w:rsidRPr="001E778D">
        <w:rPr>
          <w:rFonts w:ascii="Times New Roman" w:eastAsia="Calibri" w:hAnsi="Times New Roman"/>
          <w:sz w:val="28"/>
          <w:szCs w:val="28"/>
        </w:rPr>
        <w:t xml:space="preserve"> </w:t>
      </w:r>
      <w:r w:rsidR="005F7790" w:rsidRPr="001E778D">
        <w:rPr>
          <w:rFonts w:ascii="Times New Roman" w:eastAsia="Calibri" w:hAnsi="Times New Roman"/>
          <w:sz w:val="28"/>
          <w:szCs w:val="28"/>
        </w:rPr>
        <w:t>пошлина за оказание государственных услуг, предоставленных на базе многофункциональных центров предоставления государственных и муниципальных услуг;</w:t>
      </w:r>
    </w:p>
    <w:p w:rsidR="005F7790" w:rsidRPr="001E778D" w:rsidRDefault="00D13F15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E778D">
        <w:rPr>
          <w:rFonts w:ascii="Times New Roman" w:eastAsia="Calibri" w:hAnsi="Times New Roman"/>
          <w:sz w:val="28"/>
          <w:szCs w:val="28"/>
        </w:rPr>
        <w:t>- 20 млн. рублей</w:t>
      </w:r>
      <w:r w:rsidR="005F7790" w:rsidRPr="001E778D">
        <w:rPr>
          <w:rFonts w:ascii="Times New Roman" w:eastAsia="Calibri" w:hAnsi="Times New Roman"/>
          <w:sz w:val="28"/>
          <w:szCs w:val="28"/>
        </w:rPr>
        <w:t xml:space="preserve"> –</w:t>
      </w:r>
      <w:r w:rsidRPr="001E778D">
        <w:rPr>
          <w:rFonts w:ascii="Times New Roman" w:eastAsia="Calibri" w:hAnsi="Times New Roman"/>
          <w:sz w:val="28"/>
          <w:szCs w:val="28"/>
        </w:rPr>
        <w:t xml:space="preserve"> </w:t>
      </w:r>
      <w:r w:rsidR="005F7790" w:rsidRPr="001E778D">
        <w:rPr>
          <w:rFonts w:ascii="Times New Roman" w:eastAsia="Calibri" w:hAnsi="Times New Roman"/>
          <w:sz w:val="28"/>
          <w:szCs w:val="28"/>
        </w:rPr>
        <w:t>гос</w:t>
      </w:r>
      <w:r w:rsidR="005272FF">
        <w:rPr>
          <w:rFonts w:ascii="Times New Roman" w:eastAsia="Calibri" w:hAnsi="Times New Roman"/>
          <w:sz w:val="28"/>
          <w:szCs w:val="28"/>
        </w:rPr>
        <w:t>ударственная</w:t>
      </w:r>
      <w:r w:rsidR="000E0F6C" w:rsidRPr="001E778D">
        <w:rPr>
          <w:rFonts w:ascii="Times New Roman" w:eastAsia="Calibri" w:hAnsi="Times New Roman"/>
          <w:sz w:val="28"/>
          <w:szCs w:val="28"/>
        </w:rPr>
        <w:t xml:space="preserve"> </w:t>
      </w:r>
      <w:r w:rsidR="005F7790" w:rsidRPr="001E778D">
        <w:rPr>
          <w:rFonts w:ascii="Times New Roman" w:eastAsia="Calibri" w:hAnsi="Times New Roman"/>
          <w:sz w:val="28"/>
          <w:szCs w:val="28"/>
        </w:rPr>
        <w:t>пошлина за предоставление лицензий на розничную продажу алкогольной продукции;</w:t>
      </w:r>
    </w:p>
    <w:p w:rsidR="005F7790" w:rsidRPr="001E778D" w:rsidRDefault="00D13F15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E778D">
        <w:rPr>
          <w:rFonts w:ascii="Times New Roman" w:eastAsia="Calibri" w:hAnsi="Times New Roman"/>
          <w:sz w:val="28"/>
          <w:szCs w:val="28"/>
        </w:rPr>
        <w:t>- 10 млн. рублей</w:t>
      </w:r>
      <w:r w:rsidR="005F7790" w:rsidRPr="001E778D">
        <w:rPr>
          <w:rFonts w:ascii="Times New Roman" w:eastAsia="Calibri" w:hAnsi="Times New Roman"/>
          <w:sz w:val="28"/>
          <w:szCs w:val="28"/>
        </w:rPr>
        <w:t xml:space="preserve"> – гос</w:t>
      </w:r>
      <w:r w:rsidR="005272FF">
        <w:rPr>
          <w:rFonts w:ascii="Times New Roman" w:eastAsia="Calibri" w:hAnsi="Times New Roman"/>
          <w:sz w:val="28"/>
          <w:szCs w:val="28"/>
        </w:rPr>
        <w:t>ударственная</w:t>
      </w:r>
      <w:r w:rsidR="000E0F6C" w:rsidRPr="001E778D">
        <w:rPr>
          <w:rFonts w:ascii="Times New Roman" w:eastAsia="Calibri" w:hAnsi="Times New Roman"/>
          <w:sz w:val="28"/>
          <w:szCs w:val="28"/>
        </w:rPr>
        <w:t xml:space="preserve"> </w:t>
      </w:r>
      <w:r w:rsidR="005F7790" w:rsidRPr="001E778D">
        <w:rPr>
          <w:rFonts w:ascii="Times New Roman" w:eastAsia="Calibri" w:hAnsi="Times New Roman"/>
          <w:sz w:val="28"/>
          <w:szCs w:val="28"/>
        </w:rPr>
        <w:t>пошлина за проведение уполномоченными органами исполнительной власти субъектов Российской Федерации государственного технического осмотра и регистрации тракторов, самоходных и иных машин, за выдачу удостоверений тракториста;</w:t>
      </w:r>
    </w:p>
    <w:p w:rsidR="005F7790" w:rsidRPr="001E778D" w:rsidRDefault="00D13F15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E778D">
        <w:rPr>
          <w:rFonts w:ascii="Times New Roman" w:eastAsia="Calibri" w:hAnsi="Times New Roman"/>
          <w:sz w:val="28"/>
          <w:szCs w:val="28"/>
        </w:rPr>
        <w:t>- 2,6 млн. рублей</w:t>
      </w:r>
      <w:r w:rsidR="005F7790" w:rsidRPr="001E778D">
        <w:rPr>
          <w:rFonts w:ascii="Times New Roman" w:eastAsia="Calibri" w:hAnsi="Times New Roman"/>
          <w:sz w:val="28"/>
          <w:szCs w:val="28"/>
        </w:rPr>
        <w:t xml:space="preserve"> – гос</w:t>
      </w:r>
      <w:r w:rsidR="005272FF">
        <w:rPr>
          <w:rFonts w:ascii="Times New Roman" w:eastAsia="Calibri" w:hAnsi="Times New Roman"/>
          <w:sz w:val="28"/>
          <w:szCs w:val="28"/>
        </w:rPr>
        <w:t>ударственная</w:t>
      </w:r>
      <w:r w:rsidR="001E778D" w:rsidRPr="001E778D">
        <w:rPr>
          <w:rFonts w:ascii="Times New Roman" w:eastAsia="Calibri" w:hAnsi="Times New Roman"/>
          <w:sz w:val="28"/>
          <w:szCs w:val="28"/>
        </w:rPr>
        <w:t xml:space="preserve"> </w:t>
      </w:r>
      <w:r w:rsidR="005F7790" w:rsidRPr="001E778D">
        <w:rPr>
          <w:rFonts w:ascii="Times New Roman" w:eastAsia="Calibri" w:hAnsi="Times New Roman"/>
          <w:sz w:val="28"/>
          <w:szCs w:val="28"/>
        </w:rPr>
        <w:t xml:space="preserve">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 и крупногабаритных грузов; </w:t>
      </w:r>
    </w:p>
    <w:p w:rsidR="005F7790" w:rsidRPr="001E778D" w:rsidRDefault="00D13F15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E778D">
        <w:rPr>
          <w:rFonts w:ascii="Times New Roman" w:eastAsia="Calibri" w:hAnsi="Times New Roman"/>
          <w:sz w:val="28"/>
          <w:szCs w:val="28"/>
        </w:rPr>
        <w:t>- 3,4 млн. рублей</w:t>
      </w:r>
      <w:r w:rsidR="005F7790" w:rsidRPr="001E778D">
        <w:rPr>
          <w:rFonts w:ascii="Times New Roman" w:eastAsia="Calibri" w:hAnsi="Times New Roman"/>
          <w:sz w:val="28"/>
          <w:szCs w:val="28"/>
        </w:rPr>
        <w:t xml:space="preserve"> – иные виды гос</w:t>
      </w:r>
      <w:r w:rsidR="005272FF">
        <w:rPr>
          <w:rFonts w:ascii="Times New Roman" w:eastAsia="Calibri" w:hAnsi="Times New Roman"/>
          <w:sz w:val="28"/>
          <w:szCs w:val="28"/>
        </w:rPr>
        <w:t>ударственной</w:t>
      </w:r>
      <w:r w:rsidR="001E778D" w:rsidRPr="001E778D">
        <w:rPr>
          <w:rFonts w:ascii="Times New Roman" w:eastAsia="Calibri" w:hAnsi="Times New Roman"/>
          <w:sz w:val="28"/>
          <w:szCs w:val="28"/>
        </w:rPr>
        <w:t xml:space="preserve"> </w:t>
      </w:r>
      <w:r w:rsidR="005F7790" w:rsidRPr="001E778D">
        <w:rPr>
          <w:rFonts w:ascii="Times New Roman" w:eastAsia="Calibri" w:hAnsi="Times New Roman"/>
          <w:sz w:val="28"/>
          <w:szCs w:val="28"/>
        </w:rPr>
        <w:t>пошлины.</w:t>
      </w:r>
    </w:p>
    <w:p w:rsidR="005F7790" w:rsidRPr="001E778D" w:rsidRDefault="005F7790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E778D">
        <w:rPr>
          <w:rFonts w:ascii="Times New Roman" w:eastAsia="Calibri" w:hAnsi="Times New Roman"/>
          <w:sz w:val="28"/>
          <w:szCs w:val="28"/>
        </w:rPr>
        <w:t xml:space="preserve">Прогноз поступления государственной пошлины: </w:t>
      </w:r>
    </w:p>
    <w:p w:rsidR="005F7790" w:rsidRPr="001E778D" w:rsidRDefault="009139F7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E778D">
        <w:rPr>
          <w:rFonts w:ascii="Times New Roman" w:eastAsia="Calibri" w:hAnsi="Times New Roman"/>
          <w:color w:val="000000"/>
          <w:sz w:val="28"/>
          <w:szCs w:val="28"/>
        </w:rPr>
        <w:t>- в 2023</w:t>
      </w:r>
      <w:r w:rsidR="00D13F15" w:rsidRPr="001E778D">
        <w:rPr>
          <w:rFonts w:ascii="Times New Roman" w:eastAsia="Calibri" w:hAnsi="Times New Roman"/>
          <w:color w:val="000000"/>
          <w:sz w:val="28"/>
          <w:szCs w:val="28"/>
        </w:rPr>
        <w:t xml:space="preserve"> году – 196,6 млн. рублей</w:t>
      </w:r>
      <w:r w:rsidR="005079EF" w:rsidRPr="001E778D">
        <w:rPr>
          <w:rFonts w:ascii="Times New Roman" w:eastAsia="Calibri" w:hAnsi="Times New Roman"/>
          <w:color w:val="000000"/>
          <w:sz w:val="28"/>
          <w:szCs w:val="28"/>
        </w:rPr>
        <w:t>;</w:t>
      </w:r>
      <w:r w:rsidR="005F7790" w:rsidRPr="001E77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F7790" w:rsidRPr="001E778D" w:rsidRDefault="009139F7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E778D">
        <w:rPr>
          <w:rFonts w:ascii="Times New Roman" w:eastAsia="Calibri" w:hAnsi="Times New Roman"/>
          <w:color w:val="000000"/>
          <w:sz w:val="28"/>
          <w:szCs w:val="28"/>
        </w:rPr>
        <w:t>- в 2024</w:t>
      </w:r>
      <w:r w:rsidR="005F7790" w:rsidRPr="001E778D">
        <w:rPr>
          <w:rFonts w:ascii="Times New Roman" w:eastAsia="Calibri" w:hAnsi="Times New Roman"/>
          <w:color w:val="000000"/>
          <w:sz w:val="28"/>
          <w:szCs w:val="28"/>
        </w:rPr>
        <w:t xml:space="preserve"> году – 199,1 млн. руб</w:t>
      </w:r>
      <w:r w:rsidR="00D13F15" w:rsidRPr="001E778D">
        <w:rPr>
          <w:rFonts w:ascii="Times New Roman" w:eastAsia="Calibri" w:hAnsi="Times New Roman"/>
          <w:color w:val="000000"/>
          <w:sz w:val="28"/>
          <w:szCs w:val="28"/>
        </w:rPr>
        <w:t>лей</w:t>
      </w:r>
      <w:r w:rsidR="005F7790" w:rsidRPr="001E778D">
        <w:rPr>
          <w:rFonts w:ascii="Times New Roman" w:eastAsia="Calibri" w:hAnsi="Times New Roman"/>
          <w:color w:val="000000"/>
          <w:sz w:val="28"/>
          <w:szCs w:val="28"/>
        </w:rPr>
        <w:t xml:space="preserve">.  </w:t>
      </w:r>
    </w:p>
    <w:p w:rsidR="005F7790" w:rsidRPr="001E778D" w:rsidRDefault="005F7790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E778D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Прогноз неналоговых доходов представлен главными администраторами неналоговых доходов и складывается из следующих платежей.</w:t>
      </w:r>
    </w:p>
    <w:p w:rsidR="005F7790" w:rsidRPr="005F7790" w:rsidRDefault="005F7790" w:rsidP="005F779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5F7790" w:rsidRPr="001E778D" w:rsidRDefault="005F7790" w:rsidP="005F77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E778D">
        <w:rPr>
          <w:rFonts w:ascii="Times New Roman" w:hAnsi="Times New Roman"/>
          <w:sz w:val="28"/>
          <w:szCs w:val="28"/>
          <w:lang w:eastAsia="ru-RU"/>
        </w:rPr>
        <w:t>Прогноз доходов от перечисления части чистой прибыли государственных предприятий</w:t>
      </w:r>
    </w:p>
    <w:p w:rsidR="005F7790" w:rsidRPr="005F7790" w:rsidRDefault="005F7790" w:rsidP="005F779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F7790">
        <w:rPr>
          <w:rFonts w:ascii="Times New Roman" w:hAnsi="Times New Roman"/>
          <w:sz w:val="28"/>
          <w:szCs w:val="28"/>
          <w:lang w:eastAsia="ru-RU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4"/>
        <w:gridCol w:w="3119"/>
        <w:gridCol w:w="1843"/>
        <w:gridCol w:w="1984"/>
        <w:gridCol w:w="1831"/>
      </w:tblGrid>
      <w:tr w:rsidR="005F7790" w:rsidRPr="005F7790" w:rsidTr="00547F5B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790" w:rsidRPr="005F7790" w:rsidRDefault="005F7790" w:rsidP="005F7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Прогноз</w:t>
            </w:r>
          </w:p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на 2022</w:t>
            </w:r>
            <w:r w:rsidR="005272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Прогноз</w:t>
            </w:r>
          </w:p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на 2023</w:t>
            </w:r>
            <w:r w:rsidR="005272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Прогноз</w:t>
            </w:r>
          </w:p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на 2024</w:t>
            </w:r>
            <w:r w:rsidR="005272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F7790" w:rsidRPr="005F7790" w:rsidTr="00547F5B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790" w:rsidRPr="005F7790" w:rsidRDefault="005F7790" w:rsidP="005F7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7790" w:rsidRPr="005F7790" w:rsidRDefault="001E778D" w:rsidP="005F7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ГП «Областная фармация»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56,00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59,00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5F7790" w:rsidRPr="005F7790" w:rsidTr="00547F5B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790" w:rsidRPr="005F7790" w:rsidRDefault="005F7790" w:rsidP="005F7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7790" w:rsidRPr="005F7790" w:rsidRDefault="001E778D" w:rsidP="005F7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ГП ЯО «</w:t>
            </w:r>
            <w:r w:rsidR="005F7790"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омплексное управление активами» (ранее – ГП ЯО «Аптека № 95»</w:t>
            </w:r>
            <w:r w:rsidR="005F7790"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131,00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145,00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5F7790" w:rsidRPr="005F7790" w:rsidTr="00547F5B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790" w:rsidRPr="005F7790" w:rsidRDefault="005422CD" w:rsidP="005F7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7790" w:rsidRPr="005F7790" w:rsidRDefault="001E778D" w:rsidP="005F7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ГП ЯО «Северный водоканал»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5F7790" w:rsidRPr="005F7790" w:rsidTr="00547F5B">
        <w:trPr>
          <w:trHeight w:val="300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7790" w:rsidRPr="005F7790" w:rsidRDefault="005F7790" w:rsidP="005F7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687,00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204,00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90" w:rsidRPr="005F7790" w:rsidRDefault="005F7790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7790">
              <w:rPr>
                <w:rFonts w:ascii="Times New Roman" w:hAnsi="Times New Roman"/>
                <w:sz w:val="28"/>
                <w:szCs w:val="28"/>
                <w:lang w:eastAsia="ru-RU"/>
              </w:rPr>
              <w:t>212,00</w:t>
            </w:r>
          </w:p>
        </w:tc>
      </w:tr>
    </w:tbl>
    <w:p w:rsidR="005F7790" w:rsidRPr="005F7790" w:rsidRDefault="005F7790" w:rsidP="005F77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5F7790" w:rsidRPr="005F7790" w:rsidRDefault="005F7790" w:rsidP="005F77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04B72" w:rsidRPr="001E778D" w:rsidRDefault="00D04B72" w:rsidP="00D04B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778D">
        <w:rPr>
          <w:rFonts w:ascii="Times New Roman" w:hAnsi="Times New Roman"/>
          <w:sz w:val="28"/>
          <w:szCs w:val="28"/>
        </w:rPr>
        <w:t>Прогноз доходов от перечисления дивидендов по акциям, принадлежащим Ярославской области</w:t>
      </w:r>
    </w:p>
    <w:p w:rsidR="00D04B72" w:rsidRPr="00B94D1F" w:rsidRDefault="00D04B72" w:rsidP="00D04B7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28"/>
        <w:gridCol w:w="1417"/>
        <w:gridCol w:w="1985"/>
        <w:gridCol w:w="1559"/>
      </w:tblGrid>
      <w:tr w:rsidR="00D04B72" w:rsidRPr="00D02B93" w:rsidTr="00547F5B">
        <w:trPr>
          <w:trHeight w:val="6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72" w:rsidRPr="00D02B93" w:rsidRDefault="00D04B72" w:rsidP="00395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72" w:rsidRPr="00D02B93" w:rsidRDefault="00D04B72" w:rsidP="001E77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Прогноз</w:t>
            </w:r>
          </w:p>
          <w:p w:rsidR="00D04B72" w:rsidRPr="00D02B93" w:rsidRDefault="005272FF" w:rsidP="00395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Прогноз </w:t>
            </w:r>
          </w:p>
          <w:p w:rsidR="00D04B72" w:rsidRPr="00D02B93" w:rsidRDefault="00D04B72" w:rsidP="00395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Прогноз </w:t>
            </w:r>
          </w:p>
          <w:p w:rsidR="00D04B72" w:rsidRPr="00D02B93" w:rsidRDefault="00D04B72" w:rsidP="00395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2024 </w:t>
            </w:r>
          </w:p>
        </w:tc>
      </w:tr>
      <w:tr w:rsidR="00D04B72" w:rsidRPr="00D02B93" w:rsidTr="00547F5B">
        <w:trPr>
          <w:trHeight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72" w:rsidRPr="00D02B93" w:rsidRDefault="005272FF" w:rsidP="00395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72" w:rsidRPr="00D02B93" w:rsidRDefault="001E778D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АО «АИЖК ЯО» (ранее – ОАО «РО ИЖК ЯО»)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D04B72" w:rsidRPr="00D02B93" w:rsidTr="00547F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72" w:rsidRPr="00D02B93" w:rsidRDefault="005272FF" w:rsidP="00395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72" w:rsidRPr="00D02B93" w:rsidRDefault="001E778D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АО «</w:t>
            </w:r>
            <w:r w:rsidR="000E244E">
              <w:rPr>
                <w:rFonts w:ascii="Times New Roman" w:hAnsi="Times New Roman"/>
                <w:sz w:val="28"/>
                <w:szCs w:val="28"/>
                <w:lang w:eastAsia="ru-RU"/>
              </w:rPr>
              <w:t>Санаторий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Малые Соли»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1E778D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78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04B72"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385,00</w:t>
            </w:r>
          </w:p>
        </w:tc>
      </w:tr>
      <w:tr w:rsidR="00D04B72" w:rsidRPr="00D02B93" w:rsidTr="00547F5B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72" w:rsidRPr="00D02B93" w:rsidRDefault="005272FF" w:rsidP="00395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ОАО </w:t>
            </w:r>
            <w:r w:rsidR="001E778D">
              <w:rPr>
                <w:rFonts w:ascii="Times New Roman" w:hAnsi="Times New Roman"/>
                <w:sz w:val="28"/>
                <w:szCs w:val="28"/>
                <w:lang w:eastAsia="ru-RU"/>
              </w:rPr>
              <w:t>«Тепличный комплекс «Туношна»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159,00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182,00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205,00</w:t>
            </w:r>
          </w:p>
        </w:tc>
      </w:tr>
      <w:tr w:rsidR="00D04B72" w:rsidRPr="00D02B93" w:rsidTr="00547F5B">
        <w:trPr>
          <w:trHeight w:val="3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72" w:rsidRPr="00D02B93" w:rsidRDefault="005272FF" w:rsidP="00395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ОАО «Ярославльагропромтехснаб</w:t>
            </w:r>
            <w:r w:rsidR="001E778D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217,00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194,00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196,00</w:t>
            </w:r>
          </w:p>
        </w:tc>
      </w:tr>
      <w:tr w:rsidR="00D04B72" w:rsidRPr="00D02B93" w:rsidTr="00547F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B72" w:rsidRPr="00D02B93" w:rsidRDefault="005272FF" w:rsidP="00395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72" w:rsidRPr="00D02B93" w:rsidRDefault="001E778D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ОАО ГК «Медвежий Угол»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D04B72" w:rsidRPr="00D02B93" w:rsidTr="00547F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5272FF" w:rsidP="00395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72" w:rsidRPr="00D02B93" w:rsidRDefault="001E778D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АО «Ярославльводоканал»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1 498,00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1 498,00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1 498,00</w:t>
            </w:r>
          </w:p>
        </w:tc>
      </w:tr>
      <w:tr w:rsidR="00D04B72" w:rsidRPr="00D02B93" w:rsidTr="00547F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5272FF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АО «ЯРДОРМОСТ»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1 610,00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1 691,00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1 775,00</w:t>
            </w:r>
          </w:p>
        </w:tc>
      </w:tr>
      <w:tr w:rsidR="00D04B72" w:rsidRPr="00D02B93" w:rsidTr="00547F5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5272FF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72" w:rsidRPr="00D02B93" w:rsidRDefault="001E778D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ООО «Кварц»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1 010,00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1 111,00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1 222,00</w:t>
            </w:r>
          </w:p>
        </w:tc>
      </w:tr>
      <w:tr w:rsidR="00D04B72" w:rsidRPr="00D02B93" w:rsidTr="00547F5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5272FF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72" w:rsidRPr="00D02B93" w:rsidRDefault="001E778D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АО «РЛК ЯО»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527,00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</w:tr>
      <w:tr w:rsidR="00D04B72" w:rsidRPr="00D02B93" w:rsidTr="00547F5B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4B72" w:rsidRPr="00D02B93" w:rsidRDefault="00D04B72" w:rsidP="001E7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5 109,00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5 178,00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72" w:rsidRPr="00D02B93" w:rsidRDefault="00D04B72" w:rsidP="003950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2B93">
              <w:rPr>
                <w:rFonts w:ascii="Times New Roman" w:hAnsi="Times New Roman"/>
                <w:sz w:val="28"/>
                <w:szCs w:val="28"/>
                <w:lang w:eastAsia="ru-RU"/>
              </w:rPr>
              <w:t>5 447,00</w:t>
            </w:r>
          </w:p>
        </w:tc>
      </w:tr>
    </w:tbl>
    <w:p w:rsidR="00D04B72" w:rsidRDefault="00D04B72" w:rsidP="00D04B72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04B72" w:rsidRPr="001E778D" w:rsidRDefault="00D04B72" w:rsidP="001E7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778D">
        <w:rPr>
          <w:rFonts w:ascii="Times New Roman" w:hAnsi="Times New Roman"/>
          <w:sz w:val="28"/>
          <w:szCs w:val="28"/>
        </w:rPr>
        <w:t xml:space="preserve">Прогноз </w:t>
      </w:r>
      <w:r w:rsidRPr="001E778D">
        <w:rPr>
          <w:rFonts w:ascii="Times New Roman" w:hAnsi="Times New Roman"/>
          <w:bCs/>
          <w:sz w:val="28"/>
          <w:szCs w:val="28"/>
        </w:rPr>
        <w:t>доходов, получаемых</w:t>
      </w:r>
      <w:r w:rsidR="001E778D" w:rsidRPr="001E778D">
        <w:rPr>
          <w:rFonts w:ascii="Times New Roman" w:hAnsi="Times New Roman"/>
          <w:bCs/>
          <w:sz w:val="28"/>
          <w:szCs w:val="28"/>
        </w:rPr>
        <w:t xml:space="preserve"> </w:t>
      </w:r>
      <w:r w:rsidRPr="001E778D">
        <w:rPr>
          <w:rFonts w:ascii="Times New Roman" w:hAnsi="Times New Roman"/>
          <w:bCs/>
          <w:sz w:val="28"/>
          <w:szCs w:val="28"/>
        </w:rPr>
        <w:t xml:space="preserve">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</w:r>
      <w:r w:rsidRPr="001E778D">
        <w:rPr>
          <w:rFonts w:ascii="Times New Roman" w:hAnsi="Times New Roman"/>
          <w:bCs/>
          <w:sz w:val="28"/>
          <w:szCs w:val="28"/>
        </w:rPr>
        <w:lastRenderedPageBreak/>
        <w:t>учреждений, а также имущества государственных и муниципальных унитарных предприятий, в том числе казенных):</w:t>
      </w:r>
      <w:r w:rsidRPr="001E778D">
        <w:rPr>
          <w:rFonts w:ascii="Times New Roman" w:hAnsi="Times New Roman"/>
          <w:sz w:val="28"/>
          <w:szCs w:val="28"/>
        </w:rPr>
        <w:t xml:space="preserve"> </w:t>
      </w:r>
    </w:p>
    <w:p w:rsidR="00D04B72" w:rsidRPr="00960C60" w:rsidRDefault="00D04B72" w:rsidP="001E7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0C60">
        <w:rPr>
          <w:rFonts w:ascii="Times New Roman" w:hAnsi="Times New Roman"/>
          <w:sz w:val="28"/>
          <w:szCs w:val="28"/>
        </w:rPr>
        <w:t>в 20</w:t>
      </w:r>
      <w:r w:rsidRPr="0047172E">
        <w:rPr>
          <w:rFonts w:ascii="Times New Roman" w:hAnsi="Times New Roman"/>
          <w:sz w:val="28"/>
          <w:szCs w:val="28"/>
        </w:rPr>
        <w:t>22</w:t>
      </w:r>
      <w:r w:rsidRPr="00960C60">
        <w:rPr>
          <w:rFonts w:ascii="Times New Roman" w:hAnsi="Times New Roman"/>
          <w:sz w:val="28"/>
          <w:szCs w:val="28"/>
        </w:rPr>
        <w:t xml:space="preserve"> году – </w:t>
      </w:r>
      <w:r w:rsidRPr="009763C0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,</w:t>
      </w:r>
      <w:r w:rsidRPr="009763C0">
        <w:rPr>
          <w:rFonts w:ascii="Times New Roman" w:hAnsi="Times New Roman"/>
          <w:sz w:val="28"/>
          <w:szCs w:val="28"/>
        </w:rPr>
        <w:t xml:space="preserve">03  </w:t>
      </w:r>
      <w:r>
        <w:rPr>
          <w:rFonts w:ascii="Times New Roman" w:hAnsi="Times New Roman"/>
          <w:sz w:val="28"/>
          <w:szCs w:val="28"/>
        </w:rPr>
        <w:t>млн</w:t>
      </w:r>
      <w:r w:rsidRPr="00960C60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>лей</w:t>
      </w:r>
      <w:r w:rsidRPr="00960C60">
        <w:rPr>
          <w:rFonts w:ascii="Times New Roman" w:hAnsi="Times New Roman"/>
          <w:sz w:val="28"/>
          <w:szCs w:val="28"/>
        </w:rPr>
        <w:t>,</w:t>
      </w:r>
    </w:p>
    <w:p w:rsidR="00D04B72" w:rsidRPr="00960C60" w:rsidRDefault="00D04B72" w:rsidP="001E7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0C6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960C60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35,37 млн</w:t>
      </w:r>
      <w:r w:rsidRPr="00960C60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>лей</w:t>
      </w:r>
      <w:r w:rsidRPr="00960C60">
        <w:rPr>
          <w:rFonts w:ascii="Times New Roman" w:hAnsi="Times New Roman"/>
          <w:sz w:val="28"/>
          <w:szCs w:val="28"/>
        </w:rPr>
        <w:t>,</w:t>
      </w:r>
    </w:p>
    <w:p w:rsidR="00D04B72" w:rsidRDefault="00D04B72" w:rsidP="001E7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0C6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960C60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35,72 млн</w:t>
      </w:r>
      <w:r w:rsidRPr="00960C60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>лей</w:t>
      </w:r>
      <w:r w:rsidRPr="00960C60">
        <w:rPr>
          <w:rFonts w:ascii="Times New Roman" w:hAnsi="Times New Roman"/>
          <w:sz w:val="28"/>
          <w:szCs w:val="28"/>
        </w:rPr>
        <w:t>.</w:t>
      </w:r>
    </w:p>
    <w:p w:rsidR="00D04B72" w:rsidRPr="009F5EA4" w:rsidRDefault="00D04B72" w:rsidP="001E778D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Прогноз </w:t>
      </w:r>
      <w:r w:rsidRPr="009763C0">
        <w:rPr>
          <w:rFonts w:ascii="Times New Roman" w:hAnsi="Times New Roman"/>
          <w:sz w:val="28"/>
          <w:szCs w:val="28"/>
        </w:rPr>
        <w:t>доходов от сдачи в аренду имущества, находящегося в оперативном управлении</w:t>
      </w:r>
      <w:r w:rsidR="001E778D">
        <w:rPr>
          <w:rFonts w:ascii="Times New Roman" w:hAnsi="Times New Roman"/>
          <w:sz w:val="28"/>
          <w:szCs w:val="28"/>
        </w:rPr>
        <w:t>,</w:t>
      </w:r>
      <w:r w:rsidRPr="009763C0">
        <w:rPr>
          <w:rFonts w:ascii="Times New Roman" w:hAnsi="Times New Roman"/>
          <w:sz w:val="28"/>
          <w:szCs w:val="28"/>
        </w:rPr>
        <w:t xml:space="preserve"> и доходов от сдачи в аренду имущества, находящегося в казне субъектов Российской Федерации</w:t>
      </w:r>
      <w:r w:rsidR="001E778D">
        <w:rPr>
          <w:rFonts w:ascii="Times New Roman" w:hAnsi="Times New Roman"/>
          <w:sz w:val="28"/>
          <w:szCs w:val="28"/>
        </w:rPr>
        <w:t>,</w:t>
      </w:r>
      <w:r w:rsidRPr="009763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рассчитан исходя из суммарной годовой арендной платы за имущество, находящееся в собственности </w:t>
      </w:r>
      <w:r w:rsidR="00F64DEC">
        <w:rPr>
          <w:rFonts w:ascii="Times New Roman" w:hAnsi="Times New Roman"/>
          <w:sz w:val="28"/>
          <w:szCs w:val="28"/>
        </w:rPr>
        <w:t xml:space="preserve">Ярославской </w:t>
      </w:r>
      <w:r>
        <w:rPr>
          <w:rFonts w:ascii="Times New Roman" w:hAnsi="Times New Roman"/>
          <w:sz w:val="28"/>
          <w:szCs w:val="28"/>
        </w:rPr>
        <w:t xml:space="preserve">области. </w:t>
      </w:r>
    </w:p>
    <w:p w:rsidR="00D04B72" w:rsidRPr="001E778D" w:rsidRDefault="00D04B72" w:rsidP="001E77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</w:t>
      </w:r>
      <w:r w:rsidRPr="0084718D">
        <w:rPr>
          <w:rFonts w:ascii="Times New Roman" w:hAnsi="Times New Roman"/>
          <w:sz w:val="28"/>
          <w:szCs w:val="28"/>
        </w:rPr>
        <w:t>доходов, получаемых от продажи права на заключение договоров аренды за земли, находящиеся в собственности субъектов Российской Федерации</w:t>
      </w:r>
      <w:r w:rsidR="001E778D">
        <w:rPr>
          <w:rFonts w:ascii="Times New Roman" w:hAnsi="Times New Roman"/>
          <w:sz w:val="28"/>
          <w:szCs w:val="28"/>
        </w:rPr>
        <w:t>,</w:t>
      </w:r>
      <w:r w:rsidRPr="008471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рассчитан исходя из величины ежемесячных начислений арендной платы за земельные участки на дату разработки прогноза, с учетом уровня инфляции, установленного в соответствии с проектом федерального закона </w:t>
      </w:r>
      <w:r w:rsidRPr="00960C60">
        <w:rPr>
          <w:rFonts w:ascii="Times New Roman" w:hAnsi="Times New Roman"/>
          <w:sz w:val="28"/>
          <w:szCs w:val="28"/>
        </w:rPr>
        <w:t>«О федеральном бюджете на 20</w:t>
      </w:r>
      <w:r>
        <w:rPr>
          <w:rFonts w:ascii="Times New Roman" w:hAnsi="Times New Roman"/>
          <w:color w:val="1F497D"/>
          <w:sz w:val="28"/>
          <w:szCs w:val="28"/>
        </w:rPr>
        <w:t>22</w:t>
      </w:r>
      <w:r w:rsidRPr="00960C6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color w:val="1F497D"/>
          <w:sz w:val="28"/>
          <w:szCs w:val="28"/>
        </w:rPr>
        <w:t>3</w:t>
      </w:r>
      <w:r w:rsidRPr="00960C6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color w:val="1F497D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 в </w:t>
      </w:r>
      <w:r w:rsidRPr="0084718D">
        <w:rPr>
          <w:rFonts w:ascii="Times New Roman" w:hAnsi="Times New Roman"/>
          <w:sz w:val="28"/>
          <w:szCs w:val="28"/>
        </w:rPr>
        <w:t>размере 4,0%.</w:t>
      </w:r>
      <w:r>
        <w:rPr>
          <w:rFonts w:ascii="Times New Roman" w:hAnsi="Times New Roman"/>
          <w:sz w:val="28"/>
          <w:szCs w:val="28"/>
        </w:rPr>
        <w:t xml:space="preserve"> Учтены поступления фиксированного размера арендной платы, установленного по результатам торгов </w:t>
      </w:r>
      <w:r w:rsidRPr="001E778D">
        <w:rPr>
          <w:rFonts w:ascii="Times New Roman" w:hAnsi="Times New Roman"/>
          <w:sz w:val="28"/>
          <w:szCs w:val="28"/>
        </w:rPr>
        <w:t xml:space="preserve">по продаже права аренды земельных участков и судебных решений, вступивших в законную силу. </w:t>
      </w:r>
    </w:p>
    <w:p w:rsidR="009C6A38" w:rsidRPr="001E778D" w:rsidRDefault="009C6A38" w:rsidP="001E7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E778D">
        <w:rPr>
          <w:rFonts w:ascii="Times New Roman" w:eastAsiaTheme="minorHAnsi" w:hAnsi="Times New Roman"/>
          <w:sz w:val="28"/>
          <w:szCs w:val="28"/>
        </w:rPr>
        <w:t xml:space="preserve">Прогноз поступления </w:t>
      </w:r>
      <w:r w:rsidRPr="001E778D">
        <w:rPr>
          <w:rFonts w:ascii="Times New Roman" w:eastAsia="Calibri" w:hAnsi="Times New Roman"/>
          <w:color w:val="000000"/>
          <w:sz w:val="28"/>
          <w:szCs w:val="28"/>
        </w:rPr>
        <w:t xml:space="preserve">платы за негативное воздействие на окружающую среду представлен главным администратором доходов – </w:t>
      </w:r>
      <w:r w:rsidRPr="001E778D">
        <w:rPr>
          <w:rFonts w:ascii="Times New Roman" w:eastAsiaTheme="minorHAnsi" w:hAnsi="Times New Roman"/>
          <w:sz w:val="28"/>
          <w:szCs w:val="28"/>
        </w:rPr>
        <w:t xml:space="preserve">Верхне-Волжским межрегиональным управлением Росприроднадзора.  </w:t>
      </w:r>
    </w:p>
    <w:p w:rsidR="009C6A38" w:rsidRPr="001E778D" w:rsidRDefault="009C6A38" w:rsidP="001E7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E778D">
        <w:rPr>
          <w:rFonts w:ascii="Times New Roman" w:eastAsia="Calibri" w:hAnsi="Times New Roman"/>
          <w:color w:val="000000"/>
          <w:sz w:val="28"/>
          <w:szCs w:val="28"/>
        </w:rPr>
        <w:t>Прогноз поступления платы:</w:t>
      </w:r>
    </w:p>
    <w:p w:rsidR="009C6A38" w:rsidRPr="001E778D" w:rsidRDefault="009C6A38" w:rsidP="001E7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E778D">
        <w:rPr>
          <w:rFonts w:ascii="Times New Roman" w:eastAsia="Calibri" w:hAnsi="Times New Roman"/>
          <w:color w:val="000000"/>
          <w:sz w:val="28"/>
          <w:szCs w:val="28"/>
        </w:rPr>
        <w:t xml:space="preserve"> -</w:t>
      </w:r>
      <w:r w:rsidR="00821636" w:rsidRPr="001E77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1E778D">
        <w:rPr>
          <w:rFonts w:ascii="Times New Roman" w:eastAsia="Calibri" w:hAnsi="Times New Roman"/>
          <w:color w:val="000000"/>
          <w:sz w:val="28"/>
          <w:szCs w:val="28"/>
        </w:rPr>
        <w:t>в 2022 году – 70,1 млн.</w:t>
      </w:r>
      <w:r w:rsidR="00E62AC2" w:rsidRPr="001E77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1E778D">
        <w:rPr>
          <w:rFonts w:ascii="Times New Roman" w:eastAsia="Calibri" w:hAnsi="Times New Roman"/>
          <w:color w:val="000000"/>
          <w:sz w:val="28"/>
          <w:szCs w:val="28"/>
        </w:rPr>
        <w:t>рублей</w:t>
      </w:r>
      <w:r w:rsidR="00E62AC2" w:rsidRPr="001E778D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9C6A38" w:rsidRPr="001E778D" w:rsidRDefault="009C6A38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E778D">
        <w:rPr>
          <w:rFonts w:ascii="Times New Roman" w:eastAsia="Calibri" w:hAnsi="Times New Roman"/>
          <w:color w:val="000000"/>
          <w:sz w:val="28"/>
          <w:szCs w:val="28"/>
        </w:rPr>
        <w:t>-</w:t>
      </w:r>
      <w:r w:rsidRPr="001E778D">
        <w:rPr>
          <w:rFonts w:ascii="Times New Roman" w:eastAsiaTheme="minorHAnsi" w:hAnsi="Times New Roman"/>
        </w:rPr>
        <w:t xml:space="preserve"> </w:t>
      </w:r>
      <w:r w:rsidRPr="001E778D">
        <w:rPr>
          <w:rFonts w:ascii="Times New Roman" w:eastAsia="Calibri" w:hAnsi="Times New Roman"/>
          <w:color w:val="000000"/>
          <w:sz w:val="28"/>
          <w:szCs w:val="28"/>
        </w:rPr>
        <w:t>в 2023 году – 63,9 млн. рублей;</w:t>
      </w:r>
    </w:p>
    <w:p w:rsidR="009C6A38" w:rsidRPr="001E778D" w:rsidRDefault="009C6A38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E778D">
        <w:rPr>
          <w:rFonts w:ascii="Times New Roman" w:eastAsia="Calibri" w:hAnsi="Times New Roman"/>
          <w:color w:val="000000"/>
          <w:sz w:val="28"/>
          <w:szCs w:val="28"/>
        </w:rPr>
        <w:t>- в 2024 году – 37,6 млн. рублей.</w:t>
      </w:r>
    </w:p>
    <w:p w:rsidR="009C6A38" w:rsidRPr="001E778D" w:rsidRDefault="00F64DEC" w:rsidP="001E778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Снижение платежей</w:t>
      </w:r>
      <w:r w:rsidR="009C6A38" w:rsidRPr="001E778D">
        <w:rPr>
          <w:rFonts w:ascii="Times New Roman" w:eastAsia="Calibri" w:hAnsi="Times New Roman"/>
          <w:color w:val="000000"/>
          <w:sz w:val="28"/>
          <w:szCs w:val="28"/>
        </w:rPr>
        <w:t xml:space="preserve"> связан</w:t>
      </w:r>
      <w:r>
        <w:rPr>
          <w:rFonts w:ascii="Times New Roman" w:eastAsia="Calibri" w:hAnsi="Times New Roman"/>
          <w:color w:val="000000"/>
          <w:sz w:val="28"/>
          <w:szCs w:val="28"/>
        </w:rPr>
        <w:t>о</w:t>
      </w:r>
      <w:r w:rsidR="009C6A38" w:rsidRPr="001E778D">
        <w:rPr>
          <w:rFonts w:ascii="Times New Roman" w:eastAsia="Calibri" w:hAnsi="Times New Roman"/>
          <w:color w:val="000000"/>
          <w:sz w:val="28"/>
          <w:szCs w:val="28"/>
        </w:rPr>
        <w:t xml:space="preserve"> с тем, что ГП «Северный водоканал» в 2021 году уплачивал платежи по повышенному коэффициенту в связи с превышением объема выброс</w:t>
      </w:r>
      <w:r w:rsidR="001E778D" w:rsidRPr="001E778D">
        <w:rPr>
          <w:rFonts w:ascii="Times New Roman" w:eastAsia="Calibri" w:hAnsi="Times New Roman"/>
          <w:color w:val="000000"/>
          <w:sz w:val="28"/>
          <w:szCs w:val="28"/>
        </w:rPr>
        <w:t>ов загрязняющих веществ. В 2023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и</w:t>
      </w:r>
      <w:r w:rsidR="001E778D" w:rsidRPr="001E778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9C6A38" w:rsidRPr="001E778D">
        <w:rPr>
          <w:rFonts w:ascii="Times New Roman" w:eastAsia="Calibri" w:hAnsi="Times New Roman"/>
          <w:color w:val="000000"/>
          <w:sz w:val="28"/>
          <w:szCs w:val="28"/>
        </w:rPr>
        <w:t xml:space="preserve">2024 годах применение повышающего коэффициента не предусмотрено. </w:t>
      </w:r>
    </w:p>
    <w:p w:rsidR="004C0C9E" w:rsidRPr="001E778D" w:rsidRDefault="004C0C9E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E778D">
        <w:rPr>
          <w:rFonts w:ascii="Times New Roman" w:eastAsia="Calibri" w:hAnsi="Times New Roman"/>
          <w:sz w:val="28"/>
          <w:szCs w:val="28"/>
        </w:rPr>
        <w:t xml:space="preserve">Прогноз поступления платы за использование лесов </w:t>
      </w:r>
      <w:r w:rsidR="00BE6CC7" w:rsidRPr="001E778D">
        <w:rPr>
          <w:rFonts w:ascii="Times New Roman" w:eastAsia="Calibri" w:hAnsi="Times New Roman"/>
          <w:sz w:val="28"/>
          <w:szCs w:val="28"/>
        </w:rPr>
        <w:t>в 2022 году – 73,9</w:t>
      </w:r>
      <w:r w:rsidR="00F64DEC">
        <w:rPr>
          <w:rFonts w:ascii="Times New Roman" w:eastAsia="Calibri" w:hAnsi="Times New Roman"/>
          <w:sz w:val="28"/>
          <w:szCs w:val="28"/>
        </w:rPr>
        <w:t> </w:t>
      </w:r>
      <w:r w:rsidRPr="001E778D">
        <w:rPr>
          <w:rFonts w:ascii="Times New Roman" w:eastAsia="Calibri" w:hAnsi="Times New Roman"/>
          <w:sz w:val="28"/>
          <w:szCs w:val="28"/>
        </w:rPr>
        <w:t>млн. руб</w:t>
      </w:r>
      <w:r w:rsidR="00BE6CC7" w:rsidRPr="001E778D">
        <w:rPr>
          <w:rFonts w:ascii="Times New Roman" w:eastAsia="Calibri" w:hAnsi="Times New Roman"/>
          <w:sz w:val="28"/>
          <w:szCs w:val="28"/>
        </w:rPr>
        <w:t>лей</w:t>
      </w:r>
      <w:r w:rsidRPr="001E778D">
        <w:rPr>
          <w:rFonts w:ascii="Times New Roman" w:eastAsia="Calibri" w:hAnsi="Times New Roman"/>
          <w:sz w:val="28"/>
          <w:szCs w:val="28"/>
        </w:rPr>
        <w:t>.</w:t>
      </w:r>
    </w:p>
    <w:p w:rsidR="00BE6B86" w:rsidRPr="001E778D" w:rsidRDefault="004C0C9E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E778D">
        <w:rPr>
          <w:rFonts w:ascii="Times New Roman" w:eastAsia="Calibri" w:hAnsi="Times New Roman"/>
          <w:sz w:val="28"/>
          <w:szCs w:val="28"/>
        </w:rPr>
        <w:t>Прогноз представлен главным администратором доходов – департаментом лесного хозяйства Ярославской области</w:t>
      </w:r>
      <w:r w:rsidR="00F64DEC">
        <w:rPr>
          <w:rFonts w:ascii="Times New Roman" w:eastAsia="Calibri" w:hAnsi="Times New Roman"/>
          <w:sz w:val="28"/>
          <w:szCs w:val="28"/>
        </w:rPr>
        <w:t>,</w:t>
      </w:r>
      <w:r w:rsidR="001E778D" w:rsidRPr="001E778D">
        <w:rPr>
          <w:rFonts w:ascii="Times New Roman" w:eastAsia="Calibri" w:hAnsi="Times New Roman"/>
          <w:sz w:val="28"/>
          <w:szCs w:val="28"/>
        </w:rPr>
        <w:t xml:space="preserve"> </w:t>
      </w:r>
      <w:r w:rsidRPr="001E778D">
        <w:rPr>
          <w:rFonts w:ascii="Times New Roman" w:eastAsia="Calibri" w:hAnsi="Times New Roman"/>
          <w:sz w:val="28"/>
          <w:szCs w:val="28"/>
        </w:rPr>
        <w:t xml:space="preserve">исходя из объема используемых лесных ресурсов и средних ставок платы за единицу объема древесины. </w:t>
      </w:r>
      <w:r w:rsidR="00BE6B86" w:rsidRPr="001E778D">
        <w:rPr>
          <w:rFonts w:ascii="Times New Roman" w:eastAsia="Calibri" w:hAnsi="Times New Roman"/>
          <w:sz w:val="28"/>
          <w:szCs w:val="28"/>
        </w:rPr>
        <w:t>Учтена индексация ставок платы з</w:t>
      </w:r>
      <w:r w:rsidR="00821636" w:rsidRPr="001E778D">
        <w:rPr>
          <w:rFonts w:ascii="Times New Roman" w:eastAsia="Calibri" w:hAnsi="Times New Roman"/>
          <w:sz w:val="28"/>
          <w:szCs w:val="28"/>
        </w:rPr>
        <w:t>а использование лесов на 2022 год</w:t>
      </w:r>
      <w:r w:rsidR="00BE6B86" w:rsidRPr="001E778D">
        <w:rPr>
          <w:rFonts w:ascii="Times New Roman" w:eastAsia="Calibri" w:hAnsi="Times New Roman"/>
          <w:sz w:val="28"/>
          <w:szCs w:val="28"/>
        </w:rPr>
        <w:t xml:space="preserve">, утвержденная постановлением Правительства Российской Федерации от 12.10.2019 </w:t>
      </w:r>
      <w:r w:rsidR="001E778D" w:rsidRPr="001E778D">
        <w:rPr>
          <w:rFonts w:ascii="Times New Roman" w:eastAsia="Calibri" w:hAnsi="Times New Roman"/>
          <w:sz w:val="28"/>
          <w:szCs w:val="28"/>
        </w:rPr>
        <w:t>№ 1318 «О применении в 2021 –</w:t>
      </w:r>
      <w:r w:rsidR="00BE6B86" w:rsidRPr="001E778D">
        <w:rPr>
          <w:rFonts w:ascii="Times New Roman" w:eastAsia="Calibri" w:hAnsi="Times New Roman"/>
          <w:sz w:val="28"/>
          <w:szCs w:val="28"/>
        </w:rPr>
        <w:t xml:space="preserve"> 2023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="00F64DEC">
        <w:rPr>
          <w:rFonts w:ascii="Times New Roman" w:eastAsia="Calibri" w:hAnsi="Times New Roman"/>
          <w:sz w:val="28"/>
          <w:szCs w:val="28"/>
        </w:rPr>
        <w:t>,</w:t>
      </w:r>
      <w:r w:rsidR="00BE6B86" w:rsidRPr="001E778D">
        <w:rPr>
          <w:rFonts w:ascii="Times New Roman" w:eastAsia="Calibri" w:hAnsi="Times New Roman"/>
          <w:sz w:val="28"/>
          <w:szCs w:val="28"/>
        </w:rPr>
        <w:t xml:space="preserve"> в размере – 2,83, на 2023 </w:t>
      </w:r>
      <w:r w:rsidR="001E778D" w:rsidRPr="001E778D">
        <w:rPr>
          <w:rFonts w:ascii="Times New Roman" w:eastAsia="Calibri" w:hAnsi="Times New Roman"/>
          <w:sz w:val="28"/>
          <w:szCs w:val="28"/>
        </w:rPr>
        <w:t>год –</w:t>
      </w:r>
      <w:r w:rsidR="00821636" w:rsidRPr="001E778D">
        <w:rPr>
          <w:rFonts w:ascii="Times New Roman" w:eastAsia="Calibri" w:hAnsi="Times New Roman"/>
          <w:sz w:val="28"/>
          <w:szCs w:val="28"/>
        </w:rPr>
        <w:t xml:space="preserve"> в размере</w:t>
      </w:r>
      <w:r w:rsidR="00BE6B86" w:rsidRPr="001E778D">
        <w:rPr>
          <w:rFonts w:ascii="Times New Roman" w:eastAsia="Calibri" w:hAnsi="Times New Roman"/>
          <w:sz w:val="28"/>
          <w:szCs w:val="28"/>
        </w:rPr>
        <w:t xml:space="preserve"> 2,94. </w:t>
      </w:r>
    </w:p>
    <w:p w:rsidR="00BE6B86" w:rsidRPr="001E778D" w:rsidRDefault="00BE6B86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E778D">
        <w:rPr>
          <w:rFonts w:ascii="Times New Roman" w:eastAsia="Calibri" w:hAnsi="Times New Roman"/>
          <w:sz w:val="28"/>
          <w:szCs w:val="28"/>
        </w:rPr>
        <w:t xml:space="preserve">Прогноз поступления платы за использование лесов </w:t>
      </w:r>
      <w:r w:rsidR="001E778D" w:rsidRPr="001E778D">
        <w:rPr>
          <w:rFonts w:ascii="Times New Roman" w:eastAsia="Calibri" w:hAnsi="Times New Roman"/>
          <w:sz w:val="28"/>
          <w:szCs w:val="28"/>
        </w:rPr>
        <w:t>в 2023</w:t>
      </w:r>
      <w:r w:rsidR="00F64DEC">
        <w:rPr>
          <w:rFonts w:ascii="Times New Roman" w:eastAsia="Calibri" w:hAnsi="Times New Roman"/>
          <w:sz w:val="28"/>
          <w:szCs w:val="28"/>
        </w:rPr>
        <w:t xml:space="preserve"> и</w:t>
      </w:r>
      <w:r w:rsidR="001E778D" w:rsidRPr="001E778D">
        <w:rPr>
          <w:rFonts w:ascii="Times New Roman" w:eastAsia="Calibri" w:hAnsi="Times New Roman"/>
          <w:sz w:val="28"/>
          <w:szCs w:val="28"/>
        </w:rPr>
        <w:t xml:space="preserve"> </w:t>
      </w:r>
      <w:r w:rsidR="00821636" w:rsidRPr="001E778D">
        <w:rPr>
          <w:rFonts w:ascii="Times New Roman" w:eastAsia="Calibri" w:hAnsi="Times New Roman"/>
          <w:sz w:val="28"/>
          <w:szCs w:val="28"/>
        </w:rPr>
        <w:t>2024 годах</w:t>
      </w:r>
      <w:r w:rsidR="00E62AC2" w:rsidRPr="001E778D">
        <w:rPr>
          <w:rFonts w:ascii="Times New Roman" w:eastAsia="Calibri" w:hAnsi="Times New Roman"/>
          <w:sz w:val="28"/>
          <w:szCs w:val="28"/>
        </w:rPr>
        <w:t xml:space="preserve"> по 76,3 млн. рублей</w:t>
      </w:r>
      <w:r w:rsidRPr="001E778D">
        <w:rPr>
          <w:rFonts w:ascii="Times New Roman" w:eastAsia="Calibri" w:hAnsi="Times New Roman"/>
          <w:sz w:val="28"/>
          <w:szCs w:val="28"/>
        </w:rPr>
        <w:t xml:space="preserve"> ежегодно.</w:t>
      </w:r>
    </w:p>
    <w:p w:rsidR="004C0C9E" w:rsidRPr="001E778D" w:rsidRDefault="004C0C9E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E778D">
        <w:rPr>
          <w:rFonts w:ascii="Times New Roman" w:eastAsia="Calibri" w:hAnsi="Times New Roman"/>
          <w:sz w:val="28"/>
          <w:szCs w:val="28"/>
        </w:rPr>
        <w:lastRenderedPageBreak/>
        <w:t>Прогноз поступления доходов от штрафов, санкций, возмещения ущерба в 202</w:t>
      </w:r>
      <w:r w:rsidR="00BE6CC7" w:rsidRPr="001E778D">
        <w:rPr>
          <w:rFonts w:ascii="Times New Roman" w:eastAsia="Calibri" w:hAnsi="Times New Roman"/>
          <w:sz w:val="28"/>
          <w:szCs w:val="28"/>
        </w:rPr>
        <w:t>2</w:t>
      </w:r>
      <w:r w:rsidRPr="001E778D">
        <w:rPr>
          <w:rFonts w:ascii="Times New Roman" w:eastAsia="Calibri" w:hAnsi="Times New Roman"/>
          <w:sz w:val="28"/>
          <w:szCs w:val="28"/>
        </w:rPr>
        <w:t xml:space="preserve"> году – </w:t>
      </w:r>
      <w:r w:rsidR="00BE6CC7" w:rsidRPr="001E778D">
        <w:rPr>
          <w:rFonts w:ascii="Times New Roman" w:eastAsia="Calibri" w:hAnsi="Times New Roman"/>
          <w:sz w:val="28"/>
          <w:szCs w:val="28"/>
        </w:rPr>
        <w:t>552,9</w:t>
      </w:r>
      <w:r w:rsidRPr="001E778D">
        <w:rPr>
          <w:rFonts w:ascii="Times New Roman" w:eastAsia="Calibri" w:hAnsi="Times New Roman"/>
          <w:sz w:val="28"/>
          <w:szCs w:val="28"/>
        </w:rPr>
        <w:t xml:space="preserve"> млн. рублей. </w:t>
      </w:r>
    </w:p>
    <w:p w:rsidR="004C0C9E" w:rsidRPr="001E778D" w:rsidRDefault="004C0C9E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E778D">
        <w:rPr>
          <w:rFonts w:ascii="Times New Roman" w:eastAsia="Calibri" w:hAnsi="Times New Roman"/>
          <w:sz w:val="28"/>
          <w:szCs w:val="28"/>
        </w:rPr>
        <w:t xml:space="preserve">Основную сумму составляют штрафы за нарушение законодательства о безопасности дорожного движения – </w:t>
      </w:r>
      <w:r w:rsidR="005C00FD" w:rsidRPr="001E778D">
        <w:rPr>
          <w:rFonts w:ascii="Times New Roman" w:eastAsia="Calibri" w:hAnsi="Times New Roman"/>
          <w:sz w:val="28"/>
          <w:szCs w:val="28"/>
        </w:rPr>
        <w:t>470,0</w:t>
      </w:r>
      <w:r w:rsidRPr="001E778D">
        <w:rPr>
          <w:rFonts w:ascii="Times New Roman" w:eastAsia="Calibri" w:hAnsi="Times New Roman"/>
          <w:sz w:val="28"/>
          <w:szCs w:val="28"/>
        </w:rPr>
        <w:t xml:space="preserve"> млн. рублей. </w:t>
      </w:r>
    </w:p>
    <w:p w:rsidR="004C0C9E" w:rsidRPr="001E778D" w:rsidRDefault="004C0C9E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E778D">
        <w:rPr>
          <w:rFonts w:ascii="Times New Roman" w:eastAsia="Calibri" w:hAnsi="Times New Roman"/>
          <w:sz w:val="28"/>
          <w:szCs w:val="28"/>
        </w:rPr>
        <w:t>Прогноз поступления штрафов, санкций, возмещения ущерба:</w:t>
      </w:r>
    </w:p>
    <w:p w:rsidR="004C0C9E" w:rsidRPr="001E778D" w:rsidRDefault="004C0C9E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E778D">
        <w:rPr>
          <w:rFonts w:ascii="Times New Roman" w:eastAsia="Calibri" w:hAnsi="Times New Roman"/>
          <w:sz w:val="28"/>
          <w:szCs w:val="28"/>
        </w:rPr>
        <w:t>- в</w:t>
      </w:r>
      <w:r w:rsidR="00BE6CC7" w:rsidRPr="001E778D">
        <w:rPr>
          <w:rFonts w:ascii="Times New Roman" w:eastAsia="Calibri" w:hAnsi="Times New Roman"/>
          <w:sz w:val="28"/>
          <w:szCs w:val="28"/>
        </w:rPr>
        <w:t xml:space="preserve"> 2023 году – 513,9</w:t>
      </w:r>
      <w:r w:rsidRPr="001E778D">
        <w:rPr>
          <w:rFonts w:ascii="Times New Roman" w:eastAsia="Calibri" w:hAnsi="Times New Roman"/>
          <w:sz w:val="28"/>
          <w:szCs w:val="28"/>
        </w:rPr>
        <w:t xml:space="preserve"> млн. рублей;</w:t>
      </w:r>
    </w:p>
    <w:p w:rsidR="004C0C9E" w:rsidRPr="001E778D" w:rsidRDefault="004C0C9E" w:rsidP="001E77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E778D">
        <w:rPr>
          <w:rFonts w:ascii="Times New Roman" w:eastAsia="Calibri" w:hAnsi="Times New Roman"/>
          <w:sz w:val="28"/>
          <w:szCs w:val="28"/>
        </w:rPr>
        <w:t>- в 202</w:t>
      </w:r>
      <w:r w:rsidR="00BE6CC7" w:rsidRPr="001E778D">
        <w:rPr>
          <w:rFonts w:ascii="Times New Roman" w:eastAsia="Calibri" w:hAnsi="Times New Roman"/>
          <w:sz w:val="28"/>
          <w:szCs w:val="28"/>
        </w:rPr>
        <w:t>4</w:t>
      </w:r>
      <w:r w:rsidRPr="001E778D">
        <w:rPr>
          <w:rFonts w:ascii="Times New Roman" w:eastAsia="Calibri" w:hAnsi="Times New Roman"/>
          <w:sz w:val="28"/>
          <w:szCs w:val="28"/>
        </w:rPr>
        <w:t xml:space="preserve"> году – </w:t>
      </w:r>
      <w:r w:rsidR="00BE6CC7" w:rsidRPr="001E778D">
        <w:rPr>
          <w:rFonts w:ascii="Times New Roman" w:eastAsia="Calibri" w:hAnsi="Times New Roman"/>
          <w:sz w:val="28"/>
          <w:szCs w:val="28"/>
        </w:rPr>
        <w:t>516,8</w:t>
      </w:r>
      <w:r w:rsidRPr="001E778D">
        <w:rPr>
          <w:rFonts w:ascii="Times New Roman" w:eastAsia="Calibri" w:hAnsi="Times New Roman"/>
          <w:sz w:val="28"/>
          <w:szCs w:val="28"/>
        </w:rPr>
        <w:t xml:space="preserve"> млн. рублей.</w:t>
      </w:r>
    </w:p>
    <w:sectPr w:rsidR="004C0C9E" w:rsidRPr="001E778D" w:rsidSect="000E0F6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C6" w:rsidRDefault="003F58C6" w:rsidP="000E0F6C">
      <w:pPr>
        <w:spacing w:after="0" w:line="240" w:lineRule="auto"/>
      </w:pPr>
      <w:r>
        <w:separator/>
      </w:r>
    </w:p>
  </w:endnote>
  <w:endnote w:type="continuationSeparator" w:id="0">
    <w:p w:rsidR="003F58C6" w:rsidRDefault="003F58C6" w:rsidP="000E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C6" w:rsidRDefault="003F58C6" w:rsidP="000E0F6C">
      <w:pPr>
        <w:spacing w:after="0" w:line="240" w:lineRule="auto"/>
      </w:pPr>
      <w:r>
        <w:separator/>
      </w:r>
    </w:p>
  </w:footnote>
  <w:footnote w:type="continuationSeparator" w:id="0">
    <w:p w:rsidR="003F58C6" w:rsidRDefault="003F58C6" w:rsidP="000E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249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E0F6C" w:rsidRPr="000E0F6C" w:rsidRDefault="000E0F6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0E0F6C">
          <w:rPr>
            <w:rFonts w:ascii="Times New Roman" w:hAnsi="Times New Roman"/>
            <w:sz w:val="24"/>
            <w:szCs w:val="24"/>
          </w:rPr>
          <w:fldChar w:fldCharType="begin"/>
        </w:r>
        <w:r w:rsidRPr="000E0F6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E0F6C">
          <w:rPr>
            <w:rFonts w:ascii="Times New Roman" w:hAnsi="Times New Roman"/>
            <w:sz w:val="24"/>
            <w:szCs w:val="24"/>
          </w:rPr>
          <w:fldChar w:fldCharType="separate"/>
        </w:r>
        <w:r w:rsidR="00926A51">
          <w:rPr>
            <w:rFonts w:ascii="Times New Roman" w:hAnsi="Times New Roman"/>
            <w:noProof/>
            <w:sz w:val="24"/>
            <w:szCs w:val="24"/>
          </w:rPr>
          <w:t>2</w:t>
        </w:r>
        <w:r w:rsidRPr="000E0F6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0F6C" w:rsidRDefault="000E0F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36"/>
    <w:rsid w:val="000038D9"/>
    <w:rsid w:val="00011D34"/>
    <w:rsid w:val="00017E5B"/>
    <w:rsid w:val="00023814"/>
    <w:rsid w:val="000261EC"/>
    <w:rsid w:val="00026262"/>
    <w:rsid w:val="0003094B"/>
    <w:rsid w:val="00035387"/>
    <w:rsid w:val="00042D04"/>
    <w:rsid w:val="000439C1"/>
    <w:rsid w:val="00051FF8"/>
    <w:rsid w:val="00067AC7"/>
    <w:rsid w:val="00071670"/>
    <w:rsid w:val="00074AAD"/>
    <w:rsid w:val="0007698D"/>
    <w:rsid w:val="0007792B"/>
    <w:rsid w:val="0008587A"/>
    <w:rsid w:val="000877D3"/>
    <w:rsid w:val="00096061"/>
    <w:rsid w:val="000A5974"/>
    <w:rsid w:val="000A7293"/>
    <w:rsid w:val="000C1004"/>
    <w:rsid w:val="000D3174"/>
    <w:rsid w:val="000E0755"/>
    <w:rsid w:val="000E0F6C"/>
    <w:rsid w:val="000E244E"/>
    <w:rsid w:val="000E4990"/>
    <w:rsid w:val="000E7A6E"/>
    <w:rsid w:val="000F4440"/>
    <w:rsid w:val="000F5179"/>
    <w:rsid w:val="00102716"/>
    <w:rsid w:val="00104C5D"/>
    <w:rsid w:val="00106603"/>
    <w:rsid w:val="00107635"/>
    <w:rsid w:val="00110972"/>
    <w:rsid w:val="00112C9A"/>
    <w:rsid w:val="001130E2"/>
    <w:rsid w:val="00122830"/>
    <w:rsid w:val="00133FC3"/>
    <w:rsid w:val="00135341"/>
    <w:rsid w:val="00140658"/>
    <w:rsid w:val="00140F36"/>
    <w:rsid w:val="0014796F"/>
    <w:rsid w:val="00150E50"/>
    <w:rsid w:val="00156013"/>
    <w:rsid w:val="00160B6B"/>
    <w:rsid w:val="001635D2"/>
    <w:rsid w:val="00164AFB"/>
    <w:rsid w:val="00167522"/>
    <w:rsid w:val="00172D53"/>
    <w:rsid w:val="0017499D"/>
    <w:rsid w:val="00183673"/>
    <w:rsid w:val="0018428D"/>
    <w:rsid w:val="001869B3"/>
    <w:rsid w:val="00186D86"/>
    <w:rsid w:val="00187020"/>
    <w:rsid w:val="00187602"/>
    <w:rsid w:val="001941AB"/>
    <w:rsid w:val="0019544E"/>
    <w:rsid w:val="001A0795"/>
    <w:rsid w:val="001A0B3B"/>
    <w:rsid w:val="001A0D3B"/>
    <w:rsid w:val="001A11FC"/>
    <w:rsid w:val="001A3150"/>
    <w:rsid w:val="001A7244"/>
    <w:rsid w:val="001A7E53"/>
    <w:rsid w:val="001B62B3"/>
    <w:rsid w:val="001C68C7"/>
    <w:rsid w:val="001D12E4"/>
    <w:rsid w:val="001D2F51"/>
    <w:rsid w:val="001E002B"/>
    <w:rsid w:val="001E0919"/>
    <w:rsid w:val="001E17B1"/>
    <w:rsid w:val="001E778D"/>
    <w:rsid w:val="001F2049"/>
    <w:rsid w:val="001F3C21"/>
    <w:rsid w:val="001F69B8"/>
    <w:rsid w:val="001F764D"/>
    <w:rsid w:val="001F7697"/>
    <w:rsid w:val="00204F31"/>
    <w:rsid w:val="00210DB5"/>
    <w:rsid w:val="00211036"/>
    <w:rsid w:val="002164C7"/>
    <w:rsid w:val="00220384"/>
    <w:rsid w:val="0022326F"/>
    <w:rsid w:val="00224F4D"/>
    <w:rsid w:val="0022601E"/>
    <w:rsid w:val="00226217"/>
    <w:rsid w:val="002267EE"/>
    <w:rsid w:val="002317E6"/>
    <w:rsid w:val="00231E1B"/>
    <w:rsid w:val="00234FA5"/>
    <w:rsid w:val="00240600"/>
    <w:rsid w:val="00240CFB"/>
    <w:rsid w:val="00245832"/>
    <w:rsid w:val="00245F35"/>
    <w:rsid w:val="00246801"/>
    <w:rsid w:val="002511CE"/>
    <w:rsid w:val="00255DDE"/>
    <w:rsid w:val="0025652F"/>
    <w:rsid w:val="002632F5"/>
    <w:rsid w:val="002643ED"/>
    <w:rsid w:val="002656B5"/>
    <w:rsid w:val="00271864"/>
    <w:rsid w:val="0027393B"/>
    <w:rsid w:val="00275A7F"/>
    <w:rsid w:val="00281E97"/>
    <w:rsid w:val="00285F3B"/>
    <w:rsid w:val="00292EE0"/>
    <w:rsid w:val="002A04E2"/>
    <w:rsid w:val="002A5CBD"/>
    <w:rsid w:val="002B7F48"/>
    <w:rsid w:val="002C0798"/>
    <w:rsid w:val="002C5332"/>
    <w:rsid w:val="002C63FF"/>
    <w:rsid w:val="002C6805"/>
    <w:rsid w:val="002C7340"/>
    <w:rsid w:val="002D612D"/>
    <w:rsid w:val="002D6D2D"/>
    <w:rsid w:val="002E74BD"/>
    <w:rsid w:val="002F37A0"/>
    <w:rsid w:val="002F75EF"/>
    <w:rsid w:val="00304090"/>
    <w:rsid w:val="00304F08"/>
    <w:rsid w:val="00307DD9"/>
    <w:rsid w:val="00310F18"/>
    <w:rsid w:val="003118CF"/>
    <w:rsid w:val="00317694"/>
    <w:rsid w:val="003223CA"/>
    <w:rsid w:val="0032256C"/>
    <w:rsid w:val="00324C26"/>
    <w:rsid w:val="00324C89"/>
    <w:rsid w:val="00326787"/>
    <w:rsid w:val="00327BFB"/>
    <w:rsid w:val="00330AF6"/>
    <w:rsid w:val="00336768"/>
    <w:rsid w:val="003536B0"/>
    <w:rsid w:val="0035695E"/>
    <w:rsid w:val="003577A3"/>
    <w:rsid w:val="00360E5A"/>
    <w:rsid w:val="00361458"/>
    <w:rsid w:val="0036431C"/>
    <w:rsid w:val="00370D6C"/>
    <w:rsid w:val="00375711"/>
    <w:rsid w:val="00376E08"/>
    <w:rsid w:val="00380A31"/>
    <w:rsid w:val="0038212B"/>
    <w:rsid w:val="003861CB"/>
    <w:rsid w:val="00386B5C"/>
    <w:rsid w:val="00395BD9"/>
    <w:rsid w:val="003A3B37"/>
    <w:rsid w:val="003A467A"/>
    <w:rsid w:val="003A4F18"/>
    <w:rsid w:val="003B5235"/>
    <w:rsid w:val="003C39F0"/>
    <w:rsid w:val="003D6747"/>
    <w:rsid w:val="003D7D85"/>
    <w:rsid w:val="003E08B3"/>
    <w:rsid w:val="003E21E5"/>
    <w:rsid w:val="003E2BE1"/>
    <w:rsid w:val="003F011E"/>
    <w:rsid w:val="003F1572"/>
    <w:rsid w:val="003F1B95"/>
    <w:rsid w:val="003F58C6"/>
    <w:rsid w:val="00400FDE"/>
    <w:rsid w:val="00403F2F"/>
    <w:rsid w:val="0040526E"/>
    <w:rsid w:val="00406770"/>
    <w:rsid w:val="00411BB5"/>
    <w:rsid w:val="00411EF7"/>
    <w:rsid w:val="00414CAE"/>
    <w:rsid w:val="004227BC"/>
    <w:rsid w:val="004230C6"/>
    <w:rsid w:val="00423D8E"/>
    <w:rsid w:val="00425E40"/>
    <w:rsid w:val="00427F62"/>
    <w:rsid w:val="00436627"/>
    <w:rsid w:val="004375B4"/>
    <w:rsid w:val="00437D51"/>
    <w:rsid w:val="00437E0B"/>
    <w:rsid w:val="00440357"/>
    <w:rsid w:val="00443644"/>
    <w:rsid w:val="004507B8"/>
    <w:rsid w:val="00452176"/>
    <w:rsid w:val="004548D0"/>
    <w:rsid w:val="00457BBB"/>
    <w:rsid w:val="00457DCE"/>
    <w:rsid w:val="004604C3"/>
    <w:rsid w:val="0046229E"/>
    <w:rsid w:val="00463320"/>
    <w:rsid w:val="004634C9"/>
    <w:rsid w:val="004635B7"/>
    <w:rsid w:val="00464937"/>
    <w:rsid w:val="00464F2A"/>
    <w:rsid w:val="0046538D"/>
    <w:rsid w:val="0046658E"/>
    <w:rsid w:val="0047399E"/>
    <w:rsid w:val="00475A53"/>
    <w:rsid w:val="00484108"/>
    <w:rsid w:val="00487015"/>
    <w:rsid w:val="00492208"/>
    <w:rsid w:val="00494AB6"/>
    <w:rsid w:val="00494C28"/>
    <w:rsid w:val="00496B66"/>
    <w:rsid w:val="00497AA8"/>
    <w:rsid w:val="004A4022"/>
    <w:rsid w:val="004A593F"/>
    <w:rsid w:val="004A6648"/>
    <w:rsid w:val="004A7215"/>
    <w:rsid w:val="004B7F86"/>
    <w:rsid w:val="004C0AEE"/>
    <w:rsid w:val="004C0C9E"/>
    <w:rsid w:val="004C234E"/>
    <w:rsid w:val="004C336A"/>
    <w:rsid w:val="004C364C"/>
    <w:rsid w:val="004C41AF"/>
    <w:rsid w:val="004D0675"/>
    <w:rsid w:val="004D177F"/>
    <w:rsid w:val="004D20BD"/>
    <w:rsid w:val="004D3476"/>
    <w:rsid w:val="004D48AD"/>
    <w:rsid w:val="004E17A1"/>
    <w:rsid w:val="004E190D"/>
    <w:rsid w:val="004F2BD8"/>
    <w:rsid w:val="004F61AC"/>
    <w:rsid w:val="004F69F2"/>
    <w:rsid w:val="00503295"/>
    <w:rsid w:val="00503536"/>
    <w:rsid w:val="00504B65"/>
    <w:rsid w:val="00505F54"/>
    <w:rsid w:val="00506373"/>
    <w:rsid w:val="005079EF"/>
    <w:rsid w:val="00507D59"/>
    <w:rsid w:val="00512990"/>
    <w:rsid w:val="0051355A"/>
    <w:rsid w:val="00513F2D"/>
    <w:rsid w:val="005247BB"/>
    <w:rsid w:val="005247D1"/>
    <w:rsid w:val="005272FF"/>
    <w:rsid w:val="005373CE"/>
    <w:rsid w:val="00537B7A"/>
    <w:rsid w:val="00541003"/>
    <w:rsid w:val="00541EA1"/>
    <w:rsid w:val="005422CD"/>
    <w:rsid w:val="00543E33"/>
    <w:rsid w:val="00544D65"/>
    <w:rsid w:val="00546D71"/>
    <w:rsid w:val="00547F5B"/>
    <w:rsid w:val="0055041F"/>
    <w:rsid w:val="005553B0"/>
    <w:rsid w:val="00563A5D"/>
    <w:rsid w:val="005652BF"/>
    <w:rsid w:val="00572172"/>
    <w:rsid w:val="00572D35"/>
    <w:rsid w:val="0058167F"/>
    <w:rsid w:val="00583224"/>
    <w:rsid w:val="00595224"/>
    <w:rsid w:val="00595457"/>
    <w:rsid w:val="0059720B"/>
    <w:rsid w:val="005977AA"/>
    <w:rsid w:val="005A15B2"/>
    <w:rsid w:val="005A434D"/>
    <w:rsid w:val="005A5741"/>
    <w:rsid w:val="005A7296"/>
    <w:rsid w:val="005B08A3"/>
    <w:rsid w:val="005B1892"/>
    <w:rsid w:val="005B1F9D"/>
    <w:rsid w:val="005B3426"/>
    <w:rsid w:val="005B4D4D"/>
    <w:rsid w:val="005B6FD6"/>
    <w:rsid w:val="005C00FD"/>
    <w:rsid w:val="005D3E3D"/>
    <w:rsid w:val="005D705E"/>
    <w:rsid w:val="005E3ACF"/>
    <w:rsid w:val="005F0CA7"/>
    <w:rsid w:val="005F4D69"/>
    <w:rsid w:val="005F7790"/>
    <w:rsid w:val="00603672"/>
    <w:rsid w:val="006113FB"/>
    <w:rsid w:val="00612A1F"/>
    <w:rsid w:val="00613BB3"/>
    <w:rsid w:val="0062055F"/>
    <w:rsid w:val="00620A0C"/>
    <w:rsid w:val="00621341"/>
    <w:rsid w:val="00621457"/>
    <w:rsid w:val="006218EA"/>
    <w:rsid w:val="0062410C"/>
    <w:rsid w:val="00624802"/>
    <w:rsid w:val="00634E34"/>
    <w:rsid w:val="0063599D"/>
    <w:rsid w:val="00641ED2"/>
    <w:rsid w:val="00656410"/>
    <w:rsid w:val="006613F3"/>
    <w:rsid w:val="006639A9"/>
    <w:rsid w:val="00666B66"/>
    <w:rsid w:val="00670CD8"/>
    <w:rsid w:val="00671419"/>
    <w:rsid w:val="0068350F"/>
    <w:rsid w:val="006877DA"/>
    <w:rsid w:val="006946A3"/>
    <w:rsid w:val="006A384B"/>
    <w:rsid w:val="006A4F74"/>
    <w:rsid w:val="006B626F"/>
    <w:rsid w:val="006C1274"/>
    <w:rsid w:val="006C1E19"/>
    <w:rsid w:val="006C412F"/>
    <w:rsid w:val="006C4D68"/>
    <w:rsid w:val="006C5734"/>
    <w:rsid w:val="006C5C78"/>
    <w:rsid w:val="006C70C4"/>
    <w:rsid w:val="006D1A5D"/>
    <w:rsid w:val="006D47B5"/>
    <w:rsid w:val="006D5C0E"/>
    <w:rsid w:val="006D6849"/>
    <w:rsid w:val="006E000C"/>
    <w:rsid w:val="006E3A74"/>
    <w:rsid w:val="006E7FBE"/>
    <w:rsid w:val="006F0402"/>
    <w:rsid w:val="006F0AB7"/>
    <w:rsid w:val="006F2530"/>
    <w:rsid w:val="006F31CF"/>
    <w:rsid w:val="006F5842"/>
    <w:rsid w:val="007001CB"/>
    <w:rsid w:val="007048BA"/>
    <w:rsid w:val="0070597F"/>
    <w:rsid w:val="00750D53"/>
    <w:rsid w:val="00751571"/>
    <w:rsid w:val="007536F2"/>
    <w:rsid w:val="00754E1F"/>
    <w:rsid w:val="00755EDD"/>
    <w:rsid w:val="00762FE1"/>
    <w:rsid w:val="00763E8E"/>
    <w:rsid w:val="00764647"/>
    <w:rsid w:val="007653B0"/>
    <w:rsid w:val="00767165"/>
    <w:rsid w:val="00770AF1"/>
    <w:rsid w:val="00771E80"/>
    <w:rsid w:val="00776321"/>
    <w:rsid w:val="00776A50"/>
    <w:rsid w:val="0078105D"/>
    <w:rsid w:val="00785594"/>
    <w:rsid w:val="007A54F9"/>
    <w:rsid w:val="007B0B12"/>
    <w:rsid w:val="007B1197"/>
    <w:rsid w:val="007B1583"/>
    <w:rsid w:val="007B1906"/>
    <w:rsid w:val="007B3C3B"/>
    <w:rsid w:val="007B69CD"/>
    <w:rsid w:val="007C7153"/>
    <w:rsid w:val="007D1362"/>
    <w:rsid w:val="007D24F3"/>
    <w:rsid w:val="007D303A"/>
    <w:rsid w:val="007E0495"/>
    <w:rsid w:val="007E0C27"/>
    <w:rsid w:val="007E0FEB"/>
    <w:rsid w:val="007E2A16"/>
    <w:rsid w:val="007E7F25"/>
    <w:rsid w:val="007F0349"/>
    <w:rsid w:val="007F5A42"/>
    <w:rsid w:val="0081139A"/>
    <w:rsid w:val="0081713C"/>
    <w:rsid w:val="00821636"/>
    <w:rsid w:val="00823E17"/>
    <w:rsid w:val="008370A2"/>
    <w:rsid w:val="00842411"/>
    <w:rsid w:val="00842B86"/>
    <w:rsid w:val="00850342"/>
    <w:rsid w:val="00850F9D"/>
    <w:rsid w:val="0085277D"/>
    <w:rsid w:val="0085459A"/>
    <w:rsid w:val="00855F66"/>
    <w:rsid w:val="00863324"/>
    <w:rsid w:val="00865E6A"/>
    <w:rsid w:val="00875E51"/>
    <w:rsid w:val="00876C40"/>
    <w:rsid w:val="00877CED"/>
    <w:rsid w:val="00880CBE"/>
    <w:rsid w:val="00882A3A"/>
    <w:rsid w:val="0088577A"/>
    <w:rsid w:val="00893497"/>
    <w:rsid w:val="00894A9C"/>
    <w:rsid w:val="008A204A"/>
    <w:rsid w:val="008A27A0"/>
    <w:rsid w:val="008B6089"/>
    <w:rsid w:val="008C20D7"/>
    <w:rsid w:val="008C2432"/>
    <w:rsid w:val="008C38AE"/>
    <w:rsid w:val="008C7589"/>
    <w:rsid w:val="008D19CE"/>
    <w:rsid w:val="008D1E18"/>
    <w:rsid w:val="008D2938"/>
    <w:rsid w:val="008D66F9"/>
    <w:rsid w:val="008E0727"/>
    <w:rsid w:val="008E4A8D"/>
    <w:rsid w:val="008F5DEB"/>
    <w:rsid w:val="009006A9"/>
    <w:rsid w:val="009013BC"/>
    <w:rsid w:val="00904201"/>
    <w:rsid w:val="00904DED"/>
    <w:rsid w:val="009060EA"/>
    <w:rsid w:val="00910DD6"/>
    <w:rsid w:val="00912B7C"/>
    <w:rsid w:val="009139F7"/>
    <w:rsid w:val="00917DD0"/>
    <w:rsid w:val="0092638E"/>
    <w:rsid w:val="00926A51"/>
    <w:rsid w:val="0093036F"/>
    <w:rsid w:val="00931987"/>
    <w:rsid w:val="00932390"/>
    <w:rsid w:val="0093376C"/>
    <w:rsid w:val="0093507A"/>
    <w:rsid w:val="00941CE4"/>
    <w:rsid w:val="00943C3C"/>
    <w:rsid w:val="00951B4F"/>
    <w:rsid w:val="00952CE8"/>
    <w:rsid w:val="00961C74"/>
    <w:rsid w:val="00966570"/>
    <w:rsid w:val="00967C7D"/>
    <w:rsid w:val="0097308D"/>
    <w:rsid w:val="009753A5"/>
    <w:rsid w:val="00976DCF"/>
    <w:rsid w:val="00993426"/>
    <w:rsid w:val="009A00FC"/>
    <w:rsid w:val="009A0427"/>
    <w:rsid w:val="009B1CA8"/>
    <w:rsid w:val="009B78A0"/>
    <w:rsid w:val="009B7C92"/>
    <w:rsid w:val="009C51AA"/>
    <w:rsid w:val="009C53A0"/>
    <w:rsid w:val="009C6A38"/>
    <w:rsid w:val="009D49C8"/>
    <w:rsid w:val="009D515F"/>
    <w:rsid w:val="009D53F5"/>
    <w:rsid w:val="009D6ED8"/>
    <w:rsid w:val="009D77D8"/>
    <w:rsid w:val="009E3042"/>
    <w:rsid w:val="009E3B97"/>
    <w:rsid w:val="009E7179"/>
    <w:rsid w:val="009F34B4"/>
    <w:rsid w:val="009F7682"/>
    <w:rsid w:val="00A02FE8"/>
    <w:rsid w:val="00A03021"/>
    <w:rsid w:val="00A0622E"/>
    <w:rsid w:val="00A13241"/>
    <w:rsid w:val="00A13319"/>
    <w:rsid w:val="00A1396E"/>
    <w:rsid w:val="00A16EE5"/>
    <w:rsid w:val="00A20625"/>
    <w:rsid w:val="00A20B4C"/>
    <w:rsid w:val="00A245F7"/>
    <w:rsid w:val="00A27663"/>
    <w:rsid w:val="00A313EB"/>
    <w:rsid w:val="00A34189"/>
    <w:rsid w:val="00A342F1"/>
    <w:rsid w:val="00A35F3B"/>
    <w:rsid w:val="00A36A1D"/>
    <w:rsid w:val="00A37308"/>
    <w:rsid w:val="00A43D01"/>
    <w:rsid w:val="00A4443F"/>
    <w:rsid w:val="00A452F4"/>
    <w:rsid w:val="00A55563"/>
    <w:rsid w:val="00A55B80"/>
    <w:rsid w:val="00A56789"/>
    <w:rsid w:val="00A62CEF"/>
    <w:rsid w:val="00A63558"/>
    <w:rsid w:val="00A64C16"/>
    <w:rsid w:val="00A64F66"/>
    <w:rsid w:val="00A709B4"/>
    <w:rsid w:val="00A82BCC"/>
    <w:rsid w:val="00A8564A"/>
    <w:rsid w:val="00A85B84"/>
    <w:rsid w:val="00A90610"/>
    <w:rsid w:val="00A94A6F"/>
    <w:rsid w:val="00AA36E4"/>
    <w:rsid w:val="00AA3B4E"/>
    <w:rsid w:val="00AA63EE"/>
    <w:rsid w:val="00AA6F4E"/>
    <w:rsid w:val="00AB126F"/>
    <w:rsid w:val="00AB50DB"/>
    <w:rsid w:val="00AB56A5"/>
    <w:rsid w:val="00AD03DC"/>
    <w:rsid w:val="00AD6AB9"/>
    <w:rsid w:val="00AE0FE8"/>
    <w:rsid w:val="00AE2E61"/>
    <w:rsid w:val="00AE3798"/>
    <w:rsid w:val="00AE4548"/>
    <w:rsid w:val="00AE7CB3"/>
    <w:rsid w:val="00AF1243"/>
    <w:rsid w:val="00AF1815"/>
    <w:rsid w:val="00AF3809"/>
    <w:rsid w:val="00AF409A"/>
    <w:rsid w:val="00AF4F63"/>
    <w:rsid w:val="00AF758D"/>
    <w:rsid w:val="00B026AB"/>
    <w:rsid w:val="00B0280E"/>
    <w:rsid w:val="00B055E6"/>
    <w:rsid w:val="00B075B2"/>
    <w:rsid w:val="00B11B2B"/>
    <w:rsid w:val="00B17494"/>
    <w:rsid w:val="00B175A8"/>
    <w:rsid w:val="00B202B8"/>
    <w:rsid w:val="00B2345C"/>
    <w:rsid w:val="00B23C0C"/>
    <w:rsid w:val="00B3051D"/>
    <w:rsid w:val="00B33CA7"/>
    <w:rsid w:val="00B37D68"/>
    <w:rsid w:val="00B43E06"/>
    <w:rsid w:val="00B44F51"/>
    <w:rsid w:val="00B46A00"/>
    <w:rsid w:val="00B521F1"/>
    <w:rsid w:val="00B55398"/>
    <w:rsid w:val="00B56EA9"/>
    <w:rsid w:val="00B57C63"/>
    <w:rsid w:val="00B63BAC"/>
    <w:rsid w:val="00B72F9A"/>
    <w:rsid w:val="00B8159F"/>
    <w:rsid w:val="00B91A35"/>
    <w:rsid w:val="00B93051"/>
    <w:rsid w:val="00BC2E4C"/>
    <w:rsid w:val="00BC30B0"/>
    <w:rsid w:val="00BC6C6E"/>
    <w:rsid w:val="00BD4E30"/>
    <w:rsid w:val="00BD5AEB"/>
    <w:rsid w:val="00BE0369"/>
    <w:rsid w:val="00BE0725"/>
    <w:rsid w:val="00BE608F"/>
    <w:rsid w:val="00BE6B86"/>
    <w:rsid w:val="00BE6CC7"/>
    <w:rsid w:val="00BE71A5"/>
    <w:rsid w:val="00C0301A"/>
    <w:rsid w:val="00C05FD6"/>
    <w:rsid w:val="00C10215"/>
    <w:rsid w:val="00C1568E"/>
    <w:rsid w:val="00C16CD0"/>
    <w:rsid w:val="00C16E2F"/>
    <w:rsid w:val="00C1720A"/>
    <w:rsid w:val="00C1729C"/>
    <w:rsid w:val="00C22A71"/>
    <w:rsid w:val="00C234B1"/>
    <w:rsid w:val="00C3082A"/>
    <w:rsid w:val="00C36BE9"/>
    <w:rsid w:val="00C42F36"/>
    <w:rsid w:val="00C619F7"/>
    <w:rsid w:val="00C62B38"/>
    <w:rsid w:val="00C65190"/>
    <w:rsid w:val="00C6710B"/>
    <w:rsid w:val="00C709C3"/>
    <w:rsid w:val="00C70A16"/>
    <w:rsid w:val="00C72EC4"/>
    <w:rsid w:val="00C740C3"/>
    <w:rsid w:val="00C7500A"/>
    <w:rsid w:val="00C76DF4"/>
    <w:rsid w:val="00C8196D"/>
    <w:rsid w:val="00C8320C"/>
    <w:rsid w:val="00C8362A"/>
    <w:rsid w:val="00C92674"/>
    <w:rsid w:val="00C92A77"/>
    <w:rsid w:val="00C92D2C"/>
    <w:rsid w:val="00C963D2"/>
    <w:rsid w:val="00CA1C65"/>
    <w:rsid w:val="00CA2717"/>
    <w:rsid w:val="00CA2B91"/>
    <w:rsid w:val="00CC62C4"/>
    <w:rsid w:val="00CD1AFB"/>
    <w:rsid w:val="00CE29A2"/>
    <w:rsid w:val="00CE5E2C"/>
    <w:rsid w:val="00CE62A2"/>
    <w:rsid w:val="00CE63F9"/>
    <w:rsid w:val="00CF0647"/>
    <w:rsid w:val="00CF0E56"/>
    <w:rsid w:val="00CF716D"/>
    <w:rsid w:val="00D04B72"/>
    <w:rsid w:val="00D10B26"/>
    <w:rsid w:val="00D13F15"/>
    <w:rsid w:val="00D25623"/>
    <w:rsid w:val="00D301F5"/>
    <w:rsid w:val="00D3228F"/>
    <w:rsid w:val="00D3403F"/>
    <w:rsid w:val="00D35D22"/>
    <w:rsid w:val="00D379DD"/>
    <w:rsid w:val="00D44C51"/>
    <w:rsid w:val="00D46D2D"/>
    <w:rsid w:val="00D46DE9"/>
    <w:rsid w:val="00D50000"/>
    <w:rsid w:val="00D5185C"/>
    <w:rsid w:val="00D53BA4"/>
    <w:rsid w:val="00D54A42"/>
    <w:rsid w:val="00D56677"/>
    <w:rsid w:val="00D60895"/>
    <w:rsid w:val="00D60A9A"/>
    <w:rsid w:val="00D61D46"/>
    <w:rsid w:val="00D63FFA"/>
    <w:rsid w:val="00D657F2"/>
    <w:rsid w:val="00D674AA"/>
    <w:rsid w:val="00D7276A"/>
    <w:rsid w:val="00D74A99"/>
    <w:rsid w:val="00D76C1E"/>
    <w:rsid w:val="00D80B23"/>
    <w:rsid w:val="00D80CA4"/>
    <w:rsid w:val="00D83BBA"/>
    <w:rsid w:val="00D84612"/>
    <w:rsid w:val="00D8623D"/>
    <w:rsid w:val="00D86798"/>
    <w:rsid w:val="00D911F1"/>
    <w:rsid w:val="00D91A6E"/>
    <w:rsid w:val="00D92CA3"/>
    <w:rsid w:val="00D97BBE"/>
    <w:rsid w:val="00DA0BD1"/>
    <w:rsid w:val="00DA4DBC"/>
    <w:rsid w:val="00DA4EBA"/>
    <w:rsid w:val="00DB353A"/>
    <w:rsid w:val="00DB5338"/>
    <w:rsid w:val="00DB5FC1"/>
    <w:rsid w:val="00DB6AD8"/>
    <w:rsid w:val="00DD5D4F"/>
    <w:rsid w:val="00DE0964"/>
    <w:rsid w:val="00DE0AE7"/>
    <w:rsid w:val="00DE10A5"/>
    <w:rsid w:val="00DE502C"/>
    <w:rsid w:val="00DE5AB2"/>
    <w:rsid w:val="00DF6657"/>
    <w:rsid w:val="00DF6823"/>
    <w:rsid w:val="00E023DE"/>
    <w:rsid w:val="00E02E14"/>
    <w:rsid w:val="00E10F00"/>
    <w:rsid w:val="00E13BBB"/>
    <w:rsid w:val="00E149D0"/>
    <w:rsid w:val="00E1520A"/>
    <w:rsid w:val="00E204B9"/>
    <w:rsid w:val="00E2577D"/>
    <w:rsid w:val="00E31002"/>
    <w:rsid w:val="00E35B10"/>
    <w:rsid w:val="00E37634"/>
    <w:rsid w:val="00E37DCC"/>
    <w:rsid w:val="00E4248D"/>
    <w:rsid w:val="00E42520"/>
    <w:rsid w:val="00E43AEE"/>
    <w:rsid w:val="00E45D32"/>
    <w:rsid w:val="00E47996"/>
    <w:rsid w:val="00E54906"/>
    <w:rsid w:val="00E614B8"/>
    <w:rsid w:val="00E61D76"/>
    <w:rsid w:val="00E62AC2"/>
    <w:rsid w:val="00E65E0B"/>
    <w:rsid w:val="00E70221"/>
    <w:rsid w:val="00E73332"/>
    <w:rsid w:val="00E75396"/>
    <w:rsid w:val="00E8317F"/>
    <w:rsid w:val="00E85F65"/>
    <w:rsid w:val="00E87AA7"/>
    <w:rsid w:val="00E9697D"/>
    <w:rsid w:val="00EA12C4"/>
    <w:rsid w:val="00EA691A"/>
    <w:rsid w:val="00EB3FC9"/>
    <w:rsid w:val="00EB7378"/>
    <w:rsid w:val="00EC0032"/>
    <w:rsid w:val="00EC02A2"/>
    <w:rsid w:val="00EC079A"/>
    <w:rsid w:val="00EC0D97"/>
    <w:rsid w:val="00EC5209"/>
    <w:rsid w:val="00EC60A5"/>
    <w:rsid w:val="00ED0023"/>
    <w:rsid w:val="00ED0D7A"/>
    <w:rsid w:val="00ED5280"/>
    <w:rsid w:val="00EE12EA"/>
    <w:rsid w:val="00EE2249"/>
    <w:rsid w:val="00EE5891"/>
    <w:rsid w:val="00EF0772"/>
    <w:rsid w:val="00EF28F4"/>
    <w:rsid w:val="00EF403D"/>
    <w:rsid w:val="00F04C66"/>
    <w:rsid w:val="00F23FF5"/>
    <w:rsid w:val="00F24FE0"/>
    <w:rsid w:val="00F2518B"/>
    <w:rsid w:val="00F40413"/>
    <w:rsid w:val="00F41916"/>
    <w:rsid w:val="00F451B4"/>
    <w:rsid w:val="00F45B8C"/>
    <w:rsid w:val="00F533AF"/>
    <w:rsid w:val="00F53A1C"/>
    <w:rsid w:val="00F549D8"/>
    <w:rsid w:val="00F54CA2"/>
    <w:rsid w:val="00F55EA7"/>
    <w:rsid w:val="00F564FB"/>
    <w:rsid w:val="00F608A5"/>
    <w:rsid w:val="00F61F2C"/>
    <w:rsid w:val="00F64DEC"/>
    <w:rsid w:val="00F65C8C"/>
    <w:rsid w:val="00F72579"/>
    <w:rsid w:val="00F7311D"/>
    <w:rsid w:val="00F74D33"/>
    <w:rsid w:val="00F803D6"/>
    <w:rsid w:val="00F81B80"/>
    <w:rsid w:val="00F82900"/>
    <w:rsid w:val="00F841F0"/>
    <w:rsid w:val="00F855F7"/>
    <w:rsid w:val="00F90E0A"/>
    <w:rsid w:val="00F91886"/>
    <w:rsid w:val="00F91F68"/>
    <w:rsid w:val="00F924E4"/>
    <w:rsid w:val="00F93D4D"/>
    <w:rsid w:val="00FA1292"/>
    <w:rsid w:val="00FA5A3B"/>
    <w:rsid w:val="00FA7035"/>
    <w:rsid w:val="00FA77C5"/>
    <w:rsid w:val="00FB7B1C"/>
    <w:rsid w:val="00FC3F45"/>
    <w:rsid w:val="00FD00DE"/>
    <w:rsid w:val="00FD3589"/>
    <w:rsid w:val="00FD45C4"/>
    <w:rsid w:val="00FD527D"/>
    <w:rsid w:val="00FD5755"/>
    <w:rsid w:val="00FE0B34"/>
    <w:rsid w:val="00FE0FFA"/>
    <w:rsid w:val="00FE58EB"/>
    <w:rsid w:val="00FF2D6B"/>
    <w:rsid w:val="00FF478E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F6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E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F6C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E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8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F6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E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F6C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E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8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C367-ACA9-48CA-9D61-ABFC815D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Юричева Светлана Николаевна</dc:creator>
  <cp:lastModifiedBy>Молчанова Ольга Петровна</cp:lastModifiedBy>
  <cp:revision>2</cp:revision>
  <cp:lastPrinted>2021-10-25T15:42:00Z</cp:lastPrinted>
  <dcterms:created xsi:type="dcterms:W3CDTF">2021-11-01T10:06:00Z</dcterms:created>
  <dcterms:modified xsi:type="dcterms:W3CDTF">2021-11-01T10:06:00Z</dcterms:modified>
</cp:coreProperties>
</file>